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5443855</wp:posOffset>
            </wp:positionH>
            <wp:positionV relativeFrom="paragraph">
              <wp:posOffset>-262889</wp:posOffset>
            </wp:positionV>
            <wp:extent cx="592455" cy="354330"/>
            <wp:effectExtent b="53267" l="28362" r="28362" t="53267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40000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345" cy="629920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957580</wp:posOffset>
            </wp:positionH>
            <wp:positionV relativeFrom="paragraph">
              <wp:posOffset>-269874</wp:posOffset>
            </wp:positionV>
            <wp:extent cx="1003935" cy="49720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ESTRATÉGIA DE EDUCAÇÃO PARA A CIDADANIA 2020/2021 – Balanço do 1º 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Ciclo: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3.º</w:t>
      </w:r>
      <w:r w:rsidDel="00000000" w:rsidR="00000000" w:rsidRPr="00000000">
        <w:rPr>
          <w:vertAlign w:val="baseline"/>
          <w:rtl w:val="0"/>
        </w:rPr>
        <w:t xml:space="preserve">      Ano: </w:t>
      </w:r>
      <w:r w:rsidDel="00000000" w:rsidR="00000000" w:rsidRPr="00000000">
        <w:rPr>
          <w:b w:val="1"/>
          <w:vertAlign w:val="baseline"/>
          <w:rtl w:val="0"/>
        </w:rPr>
        <w:t xml:space="preserve">9.º</w:t>
      </w:r>
      <w:r w:rsidDel="00000000" w:rsidR="00000000" w:rsidRPr="00000000">
        <w:rPr>
          <w:vertAlign w:val="baseline"/>
          <w:rtl w:val="0"/>
        </w:rPr>
        <w:t xml:space="preserve">    Turma: </w:t>
      </w:r>
      <w:r w:rsidDel="00000000" w:rsidR="00000000" w:rsidRPr="00000000">
        <w:rPr>
          <w:b w:val="1"/>
          <w:vertAlign w:val="baseline"/>
          <w:rtl w:val="0"/>
        </w:rPr>
        <w:t xml:space="preserve">A</w:t>
      </w:r>
    </w:p>
    <w:tbl>
      <w:tblPr>
        <w:tblStyle w:val="Table1"/>
        <w:tblW w:w="146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8"/>
        <w:gridCol w:w="2990"/>
        <w:gridCol w:w="1410"/>
        <w:gridCol w:w="1695"/>
        <w:gridCol w:w="2410"/>
        <w:gridCol w:w="1786"/>
        <w:gridCol w:w="2354"/>
        <w:tblGridChange w:id="0">
          <w:tblGrid>
            <w:gridCol w:w="1958"/>
            <w:gridCol w:w="2990"/>
            <w:gridCol w:w="1410"/>
            <w:gridCol w:w="1695"/>
            <w:gridCol w:w="2410"/>
            <w:gridCol w:w="1786"/>
            <w:gridCol w:w="235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Atividades/ projetos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Disciplina(s)/ Área(s) envolvida(s)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Calendarização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Formação cívica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Consciencializar da importância da segurança rodoviária. 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Investigar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41" w:hanging="41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Conhecer os efeitos dos acidentes rodoviários.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41" w:hanging="41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Identificar os problemas que podem causar estes acidentes.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1º e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Não foram trabalhados domínios e temas da EEC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Igualdade de Género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Relacionar a I Guerra Mundial com a aceleração das transformações operadas nos comportamentos, nomeadamente o papel da mulher na sociedade de então.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Identificar/aplicar o conceito de Feminismo.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visionamento de pequenos vídeos acerca da condição da mulher no início do séc. XX; reflexão conjunta acerca do que foi e do que é.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Relacionar a I Guerra Mundial com a aceleração das transformações operadas nos comportamentos, nomeadamente o papel da mulher na sociedade de então.</w:t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Identificar/aplicar o conceito de Feminismo.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Sensibilizar os alunos para os comportamentos a adotar no estado de pandemia que vivemos, devido ao COVID-19 para se protegerem a si próprios e aos outros.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Incutir nos alunos a necessidade de instalarem a app STAYAWAY COVID nos seus smartphones, identificando os motivos que sustentam a necessidade desta ação.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Visualização e comentário aos vídeos "Escola em Segurança", STAYAWAYCOVIDAPP PT PROMO INESCTEC.mp4 e Tutoria APP STAYAWAY COVID PT.mp4 e cartazes do site.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Instalação e explicação da app STAYAWAY COVID.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pandemia do COVID-19 com adoção de medidas seguras.</w:t>
            </w:r>
          </w:p>
          <w:p w:rsidR="00000000" w:rsidDel="00000000" w:rsidP="00000000" w:rsidRDefault="00000000" w:rsidRPr="00000000" w14:paraId="00000037">
            <w:pPr>
              <w:spacing w:after="240" w:before="0" w:line="256.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responsáveis em ambiente de pandemia.</w:t>
            </w:r>
          </w:p>
          <w:p w:rsidR="00000000" w:rsidDel="00000000" w:rsidP="00000000" w:rsidRDefault="00000000" w:rsidRPr="00000000" w14:paraId="00000038">
            <w:pPr>
              <w:spacing w:after="24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Preservação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dos alunos e dos outros.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antes de comprar na Internet, nomeadamente: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Não receber o produto;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o produto, porém com anomalias;</w:t>
            </w:r>
          </w:p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Enfrentar dificuldades de contacto com o site/loja vendedora;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a privacidade invadida;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dados pessoais ou financeiros indevidamente obtidos;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os dados financeiros repassados para outras empresas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indevidamente usados para outros fins;</w:t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spam; e saber adotar comportamentos capazes de os minimizar ou eliminar.</w:t>
            </w:r>
          </w:p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durante e depois da compra.</w:t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ambientes digitais para realizar compras online e as medidas a adotar para que o processo decorra com normalidade.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1.º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Compras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</w:t>
            </w:r>
          </w:p>
          <w:p w:rsidR="00000000" w:rsidDel="00000000" w:rsidP="00000000" w:rsidRDefault="00000000" w:rsidRPr="00000000" w14:paraId="0000005E">
            <w:pPr>
              <w:spacing w:after="24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seguros e responsáveis em ambientes digitais.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Evitar longos períodos em comportamento sedentário;</w:t>
            </w:r>
          </w:p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Aumentar a prática da AF e desportiva.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dos temas “Sedentarismo” e “Obesidade”.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importância da saúde individual e comunitária na qualidade de vida da população;</w:t>
            </w:r>
          </w:p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Sintetizar as estratégias de promoção da saúde.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– Afetos e educação para a sexualidade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 capaz de aceitar e integrar as mudanças físicas e emocionais associadas à sexualidade, ao longo da vida;</w:t>
            </w:r>
          </w:p>
          <w:p w:rsidR="00000000" w:rsidDel="00000000" w:rsidP="00000000" w:rsidRDefault="00000000" w:rsidRPr="00000000" w14:paraId="00000073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 responsável para consigo e para com os outros;</w:t>
            </w:r>
          </w:p>
          <w:p w:rsidR="00000000" w:rsidDel="00000000" w:rsidP="00000000" w:rsidRDefault="00000000" w:rsidRPr="00000000" w14:paraId="00000074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Refletir para o desenvolvimento de um projeto de vida;</w:t>
            </w:r>
          </w:p>
          <w:p w:rsidR="00000000" w:rsidDel="00000000" w:rsidP="00000000" w:rsidRDefault="00000000" w:rsidRPr="00000000" w14:paraId="00000075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Adotar atitudes e comportamentos saudáveis.</w:t>
            </w:r>
          </w:p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Distinguir o funcionamento dos diferentes métodos contracetivos e a sua adequação às diferentes necessidades.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as infeções de transmissão sexual e as formas de prevenção primária e secundária.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Análise de informação escrita e de imagens.</w:t>
            </w:r>
          </w:p>
          <w:p w:rsidR="00000000" w:rsidDel="00000000" w:rsidP="00000000" w:rsidRDefault="00000000" w:rsidRPr="00000000" w14:paraId="00000079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e esclarecimento de dúvidas.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o funcionamento do sistema reprodutor humano.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 papel da ciência e da tecnologia na identificação de infeções sexualmente transmissíveis e o contributo do cidadão na implementação de medidas que contribuam para o bom funcionamento do sistema reprodutor.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criticamente as vantagens e as desvantagens dos diferentes métodos contracetivos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Saúde de Pedrógão Grande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Dezembro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84">
            <w:pPr>
              <w:spacing w:after="240" w:before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MENTAL e PREVENÇÃO da VIOLÊNCIA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– Subtemas: Risco; Proteção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riscos e comportamentos de risco.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Gerir situações de emergência/ risco.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as capacidades individuais protetoras de risco.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os recursos envolventes protetores de risco.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que as escolhas e decisões tomadas no imediato têm impacto e repercussões a curto e médio prazo na saúde e no projeto de vida.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Priorizar os fatores protetores face a diferentes situações de risco;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Refletir sobre a importância de aprofundar fatores protetores, para lidar com a adversidade e riscos.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do jogo “COVID-19”.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</w:t>
            </w:r>
          </w:p>
        </w:tc>
      </w:tr>
    </w:tbl>
    <w:p w:rsidR="00000000" w:rsidDel="00000000" w:rsidP="00000000" w:rsidRDefault="00000000" w:rsidRPr="00000000" w14:paraId="00000094">
      <w:pPr>
        <w:spacing w:after="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(CONTINUAÇÃO)</w:t>
      </w:r>
    </w:p>
    <w:p w:rsidR="00000000" w:rsidDel="00000000" w:rsidP="00000000" w:rsidRDefault="00000000" w:rsidRPr="00000000" w14:paraId="00000095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Atividades/ projetos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Disciplina(s)/Área(s) envolvida(s)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Calendarização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COMPORTAMENTO ADITIVOS E DEPENDÊNCIAS (CAD)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conhecer conceitos fundamentais no âmbito do fenómeno dos CAD.</w:t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e categorizar dimensões e fatores que influenciam os comportamentos aditivos e as dependências.</w:t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distinguir o significado de conceitos fundamentais nos comportamentos aditivos e dependências.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da narrativa interativa “Eu enfrento o COVID-19 com os outros”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A9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ELEIÇÕES E O EXERCÍCIO DA DEMOCRACIA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o conhecimento dos órgãos do Poder Local.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os diferentes tipos de eleições.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Contribuir para uma participação ativa e consciente dos jovens nas questões da comunidade.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“Para que é que votamos?”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Jogo interativo “O que já sabes?”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  <w:p w:rsidR="00000000" w:rsidDel="00000000" w:rsidP="00000000" w:rsidRDefault="00000000" w:rsidRPr="00000000" w14:paraId="000000B5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FORÇAS ARMADAS E AS FORÇAS E SERVIÇOS DE SEGURANÇA – O Quadro Institucional, Organização e Missões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organização e as missões que as Forças Armadas desempenham em prol de Portugal, dos portugueses e da segurança internacional.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organização e as missões das Forças de Segurança.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organização e as missões dos Serviços de Segurança.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online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sobre o tema.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Construção de um esquema conceptual.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Dezembro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Utilizar e dominar instrumentos diversificados para pesquisar, descrever, avaliar, validar e mobilizar informação, de forma crítica e autónoma, verificando diferentes fontes documentais e a sua credibilidade.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Debate: “Vantagens e desvantagens dos diferentes meios de comunicação.”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estratégias que impliquem por parte do aluno: - ações de comunicação unidirecional e bidirecional; - ações de resposta, apresentação, e iniciativa.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 e outubro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respeito pela diversidade humana e cultural e agir de acordo com os princípios dos direitos humanos; negociar a solução de conflitos em prol da solidariedade e da sustentabilidade ecológica; ser interventivo, tomando a iniciativa e sendo empreendedor;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Interagir com tolerância, empatia e responsabilidade e argumentar, negociar e aceitar diferentes pontos de vista, desenvolvendo novas formas de estar, olhar e participar na sociedade.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no âmbito do DAC “Can we save our Planet?”: elaboração e publicação de textos de apresentação pessoal; reportagem fotográfica sobre Pedrógão Grande; criação de um vídeo; videoconferência.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estratégias que requeiram/induzam por parte do aluno: - aceitação ou argumentação de pontos de vista diferentes; - estratégias que induzam respeito por diferenças de características, crenças ou opiniões; - confronto de ideias e perspetivas distintas sobre a abordagem de um dado problema e ou maneira de o resolver, tendo em conta, por exemplo, diferentes perspetivas culturais, sejam de incidência local, nacional ou global.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 Rodoviária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a integração segura dos jovens em ambiente rodoviário.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Identificar, conhecer e adotar comportamentos adequados à circulação e ao atravessamento enquanto peão.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Identificar, conhecer e adotar comportamentos adequados, enquanto passageiro.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criticamente o ambiente rodoviário e adotar atitudes e comportamentos sociais e cívicos adequados.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Estudo de vocabulário sobre os meios de transporte,  segurança rodoviária e sinais de trânsito;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Exercícios de associação e tradução;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de vídeos;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Reflexão e debate.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Pretende-se que o aluno consiga: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Desenvolver e aprofundar o seu conhecimento sobre o ambiente rodoviário.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Assumir-se como elemento integrante do sistema, aprendendo a conviver e a partilhar o espaço público com segurança, responsabilidade e respeito.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que a Educação Rodoviária constitui um processo educativo contínuo, assente no desenvolvimento de aptidões sociais que sustentam a construção de atitudes e comportamentos adequados.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240" w:before="24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Tomada de consciência da importância dos cuidados a ter com as cordas vocais – a voz.</w:t>
            </w:r>
          </w:p>
          <w:p w:rsidR="00000000" w:rsidDel="00000000" w:rsidP="00000000" w:rsidRDefault="00000000" w:rsidRPr="00000000" w14:paraId="000000E5">
            <w:pPr>
              <w:spacing w:after="240" w:before="24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Desenvolvimento de capacidades motoras finas através da aprendizagem de peças instrumentais: instrumental Orff e Flauta de bisel.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 contrastantes.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de peças musicais corais, instrumentais e danças.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Educação Musical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240" w:before="24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e Comunicação</w:t>
            </w:r>
          </w:p>
          <w:p w:rsidR="00000000" w:rsidDel="00000000" w:rsidP="00000000" w:rsidRDefault="00000000" w:rsidRPr="00000000" w14:paraId="000000EB">
            <w:pPr>
              <w:spacing w:after="240" w:before="24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Cantar, a solo e em grupo, a uma e duas vozes, repertório variado com e sem acompanhamento instrumental, evidenciando confiança e domínio básico da técnica vocal.</w:t>
            </w:r>
          </w:p>
          <w:p w:rsidR="00000000" w:rsidDel="00000000" w:rsidP="00000000" w:rsidRDefault="00000000" w:rsidRPr="00000000" w14:paraId="000000EC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Tocar diversos instrumentos acústicos, a solo e em grupo, repertório variado, controlando o tempo, o ritmo e a dinâmica, com progressiva destreza e confiança.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240" w:before="24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Interpretação e Comunicação</w:t>
            </w:r>
          </w:p>
          <w:p w:rsidR="00000000" w:rsidDel="00000000" w:rsidP="00000000" w:rsidRDefault="00000000" w:rsidRPr="00000000" w14:paraId="000000EF">
            <w:pPr>
              <w:spacing w:after="240" w:before="240" w:line="240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Cantar, a solo e em grupo, a uma e duas vozes, repertório variado com e sem acompanhamento instrumental, evidenciando confiança e domínio básico da técnica vocal.</w:t>
            </w:r>
          </w:p>
          <w:p w:rsidR="00000000" w:rsidDel="00000000" w:rsidP="00000000" w:rsidRDefault="00000000" w:rsidRPr="00000000" w14:paraId="000000F0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Tocar diversos instrumentos acústicos, a solo e em grupo, repertório variado, controlando o tempo, o ritmo e a dinâmica, com progressiva destreza e confiança.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d9d9d9" w:val="clear"/>
        <w:spacing w:after="0" w:line="276" w:lineRule="auto"/>
        <w:rPr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d9d9d9" w:val="clear"/>
        <w:spacing w:after="0" w:line="276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vertAlign w:val="baselin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d9d9d9" w:val="clear"/>
        <w:spacing w:after="0" w:line="276" w:lineRule="auto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22">
      <w:pPr>
        <w:shd w:fill="d9d9d9" w:val="clear"/>
        <w:spacing w:after="0" w:line="276" w:lineRule="auto"/>
        <w:rPr>
          <w:sz w:val="14"/>
          <w:szCs w:val="14"/>
          <w:vertAlign w:val="baseline"/>
        </w:rPr>
      </w:pPr>
      <w:r w:rsidDel="00000000" w:rsidR="00000000" w:rsidRPr="00000000">
        <w:rPr>
          <w:sz w:val="14"/>
          <w:szCs w:val="14"/>
          <w:vertAlign w:val="baseline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23">
      <w:pPr>
        <w:shd w:fill="d9d9d9" w:val="clear"/>
        <w:spacing w:after="0" w:lineRule="auto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vertAlign w:val="baselin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são selecionados de entre os que constam dos referenciais de cada domínio, quando existam – disponíveis em </w:t>
      </w:r>
      <w:hyperlink r:id="rId10">
        <w:r w:rsidDel="00000000" w:rsidR="00000000" w:rsidRPr="00000000">
          <w:rPr>
            <w:sz w:val="18"/>
            <w:szCs w:val="18"/>
            <w:u w:val="single"/>
            <w:vertAlign w:val="baselin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4">
      <w:pPr>
        <w:shd w:fill="d9d9d9" w:val="clear"/>
        <w:rPr>
          <w:sz w:val="18"/>
          <w:szCs w:val="1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 –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vertAlign w:val="baselin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: aquelas que estão definidas nas planificações das disciplinas; podem ser os “objetivos” ou as “metas de aprendizagem” (depende do nível de ensino/ano escolar).</w:t>
      </w:r>
    </w:p>
    <w:p w:rsidR="00000000" w:rsidDel="00000000" w:rsidP="00000000" w:rsidRDefault="00000000" w:rsidRPr="00000000" w14:paraId="000001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Pedrógão Grande, 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 de dezembro de 2019.</w:t>
      </w:r>
    </w:p>
    <w:p w:rsidR="00000000" w:rsidDel="00000000" w:rsidP="00000000" w:rsidRDefault="00000000" w:rsidRPr="00000000" w14:paraId="000001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i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Diretor de Turma: </w:t>
      </w:r>
      <w:r w:rsidDel="00000000" w:rsidR="00000000" w:rsidRPr="00000000">
        <w:rPr>
          <w:i w:val="1"/>
          <w:rtl w:val="0"/>
        </w:rPr>
        <w:t xml:space="preserve">José Ramos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elha">
    <w:name w:val="Tabela com grelha"/>
    <w:basedOn w:val="Tabelanormal"/>
    <w:next w:val="Tabelacomgrelh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elh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CabeçalhoCarácter">
    <w:name w:val="Cabeçalho Carácter"/>
    <w:basedOn w:val="Tipodeletrapredefinidodoparágrafo"/>
    <w:next w:val="CabeçalhoCarác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RodapéCarácter">
    <w:name w:val="Rodapé Carácter"/>
    <w:basedOn w:val="Tipodeletrapredefinidodoparágrafo"/>
    <w:next w:val="RodapéCaráct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gação">
    <w:name w:val="Hiperligação"/>
    <w:next w:val="Hiperligaçã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arácter">
    <w:name w:val="Texto de balão Carácter"/>
    <w:next w:val="TextodebalãoCarácte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idadania.dge.mec.pt/documentos-referencia" TargetMode="Externa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Rynt5GbAnycbel6o8dGC9n+3w==">AMUW2mXq3fEAVnKQ8ekNEqhH4tJsaKY5/JhYrq6kqH9ArVaTrNvhJaW6SPVY2DVF/H7IkcnXKBLVYjVRUMCw+H0E6LjW1ZRQdAdf4JwIm/XePJup/mtliQK64FzJEQ167JdRLxR1XyMC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2020-12-18T09:03:00Z</dcterms:created>
  <dc:creator>João Pires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