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-469899</wp:posOffset>
            </wp:positionV>
            <wp:extent cx="1363121" cy="629920"/>
            <wp:effectExtent b="0" l="0" r="0" t="0"/>
            <wp:wrapSquare wrapText="bothSides" distB="0" distT="0" distL="0" distR="0"/>
            <wp:docPr id="170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121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7157085</wp:posOffset>
            </wp:positionH>
            <wp:positionV relativeFrom="paragraph">
              <wp:posOffset>-328929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C:\Users\Master\Downloads\Escola Saudável_original_3nivel.jpg" id="167" name="image2.jpg"/>
            <a:graphic>
              <a:graphicData uri="http://schemas.openxmlformats.org/drawingml/2006/picture">
                <pic:pic>
                  <pic:nvPicPr>
                    <pic:cNvPr descr="C:\Users\Master\Downloads\Escola Saudável_original_3nivel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8006080</wp:posOffset>
            </wp:positionH>
            <wp:positionV relativeFrom="paragraph">
              <wp:posOffset>-329564</wp:posOffset>
            </wp:positionV>
            <wp:extent cx="609600" cy="311785"/>
            <wp:effectExtent b="0" l="0" r="0" t="0"/>
            <wp:wrapSquare wrapText="bothSides" distB="0" distT="0" distL="0" distR="0"/>
            <wp:docPr id="16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612775</wp:posOffset>
            </wp:positionH>
            <wp:positionV relativeFrom="paragraph">
              <wp:posOffset>-472439</wp:posOffset>
            </wp:positionV>
            <wp:extent cx="1194996" cy="591820"/>
            <wp:effectExtent b="0" l="0" r="0" t="0"/>
            <wp:wrapNone/>
            <wp:docPr id="16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4996" cy="591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1 º período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  Ciclo: </w:t>
      </w:r>
      <w:r w:rsidDel="00000000" w:rsidR="00000000" w:rsidRPr="00000000">
        <w:rPr>
          <w:b w:val="1"/>
          <w:rtl w:val="0"/>
        </w:rPr>
        <w:t xml:space="preserve">3.º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b w:val="1"/>
          <w:rtl w:val="0"/>
        </w:rPr>
        <w:t xml:space="preserve">9.º</w:t>
      </w:r>
      <w:r w:rsidDel="00000000" w:rsidR="00000000" w:rsidRPr="00000000">
        <w:rPr>
          <w:rtl w:val="0"/>
        </w:rPr>
        <w:t xml:space="preserve">    Turma: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5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2685"/>
        <w:gridCol w:w="7"/>
        <w:gridCol w:w="1400"/>
        <w:gridCol w:w="1940"/>
        <w:gridCol w:w="17"/>
        <w:gridCol w:w="2070"/>
        <w:gridCol w:w="11"/>
        <w:gridCol w:w="1814"/>
        <w:gridCol w:w="8"/>
        <w:gridCol w:w="2362"/>
        <w:tblGridChange w:id="0">
          <w:tblGrid>
            <w:gridCol w:w="2280"/>
            <w:gridCol w:w="2685"/>
            <w:gridCol w:w="7"/>
            <w:gridCol w:w="1400"/>
            <w:gridCol w:w="1940"/>
            <w:gridCol w:w="17"/>
            <w:gridCol w:w="2070"/>
            <w:gridCol w:w="11"/>
            <w:gridCol w:w="1814"/>
            <w:gridCol w:w="8"/>
            <w:gridCol w:w="236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e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temas</w:t>
            </w:r>
            <w:r w:rsidDel="00000000" w:rsidR="00000000" w:rsidRPr="00000000">
              <w:rPr>
                <w:b w:val="1"/>
                <w:rtl w:val="0"/>
              </w:rPr>
              <w:t xml:space="preserve">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Não foram trabalhados domínios e temas da EEC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Físico-Química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Evitar longos períodos em comportamento sedentário;</w:t>
            </w:r>
          </w:p>
          <w:p w:rsidR="00000000" w:rsidDel="00000000" w:rsidP="00000000" w:rsidRDefault="00000000" w:rsidRPr="00000000" w14:paraId="00000048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Aumentar a prática da AF e desportiva.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dos temas “Sedentarismo” e “Obesidade”.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importância da saúde individual e comunitária na qualidade de vida da população;</w:t>
            </w:r>
          </w:p>
          <w:p w:rsidR="00000000" w:rsidDel="00000000" w:rsidP="00000000" w:rsidRDefault="00000000" w:rsidRPr="00000000" w14:paraId="0000004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Sintetizar as estratégias de promoção da saúde.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– Afetos e educação para a sexualidade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 capaz de aceitar e integrar as mudanças físicas e emocionais associadas à sexualidade, ao longo da vida;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 responsável para consigo e para com os outros;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Refletir para o desenvolvimento de um projeto de vida;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Adotar atitudes e comportamentos saudáveis.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Distinguir o funcionamento dos diferentes métodos contracetivos e a sua adequação às diferentes necessidades.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as infeções de transmissão sexual e as formas de prevenção primária e secundária.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Análise de informação escrita e de imagens.</w:t>
            </w:r>
          </w:p>
          <w:p w:rsidR="00000000" w:rsidDel="00000000" w:rsidP="00000000" w:rsidRDefault="00000000" w:rsidRPr="00000000" w14:paraId="0000005B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e esclarecimento de dúvidas.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o funcionamento do sistema reprodutor humano.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Discutir o papel da ciência e da tecnologia na identificação de infeções sexualmente transmissíveis e o contributo do cidadão na implementação de medidas que contribuam para o bom funcionamento do sistema reprodutor.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criticamente as vantagens e as desvantagens dos diferentes métodos contracetivos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Centro de Saúde de Pedrógão Grande</w:t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</w:p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Dezembro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 MENTAL e PREVENÇÃO da VIOLÊNCIA – Subtemas: Risco; Proteção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riscos e comportamentos de risco.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Gerir situações de emergência/ risco.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Avaliar as capacidades individuais protetoras de risco.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Avaliar os recursos envolventes protetores de risco.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que as escolhas e decisões tomadas no imediato têm impacto e repercussões a curto e médio prazo na saúde e no projeto de vida.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Priorizar os fatores protetores face a diferentes situações de risco;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Refletir sobre a importância de aprofundar fatores protetores, para lidar com a adversidade e riscos.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Debate.</w:t>
            </w:r>
          </w:p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do jogo “COVID-19”.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Setembro</w:t>
            </w:r>
          </w:p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Outubro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COMPORTAMENTO ADITIVOS E DEPENDÊNCIAS (CAD)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conhecer conceitos fundamentais no âmbito do fenómeno dos CAD.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Analisar e categorizar dimensões e fatores que influenciam os comportamentos aditivos e as dependências.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Identificar e distinguir o significado de conceitos fundamentais nos comportamentos aditivos e dependências.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da narrativa interativa “Eu enfrento o COVID-19 com os outros”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</w:p>
        </w:tc>
      </w:tr>
      <w:tr>
        <w:trPr>
          <w:trHeight w:val="454.453125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8C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ELEIÇÕES E O EXERCÍCIO DA DEMOCRACIA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Promover o conhecimento dos órgãos do Poder Local.</w:t>
            </w:r>
          </w:p>
          <w:p w:rsidR="00000000" w:rsidDel="00000000" w:rsidP="00000000" w:rsidRDefault="00000000" w:rsidRPr="00000000" w14:paraId="0000008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os diferentes tipos de eleições.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Contribuir para uma participação ativa e consciente dos jovens nas questões da comunidade.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“Para que é que votamos?”</w:t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Jogo interativo “O que já sabes?”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SEGURANÇA, DEFESA E PAZ</w:t>
            </w:r>
          </w:p>
          <w:p w:rsidR="00000000" w:rsidDel="00000000" w:rsidP="00000000" w:rsidRDefault="00000000" w:rsidRPr="00000000" w14:paraId="0000009B">
            <w:pPr>
              <w:spacing w:after="240" w:befor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 FORÇAS ARMADAS E AS FORÇAS E SERVIÇOS DE SEGURANÇA – O Quadro Institucional, Organização e Missões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organização e as missões que as Forças Armadas desempenham em prol de Portugal, dos portugueses e da segurança internacional.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organização e as missões das Forças de Segurança.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organização e as missões dos Serviços de Segurança.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Pesquisa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online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sobre o tema.</w:t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Construção de um esquema conceptual.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Cidadania e Desenvolvimento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(Ver objetivos.)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Dezembro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Física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.7265625" w:hRule="atLeast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Visual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alguns dos progressos verificados ao nível da medicina;</w:t>
            </w:r>
          </w:p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Concluir sobre a influência desses progressos em alguns indicadores demográficos.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Análise de textos, gráficos e mapas.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 objetivos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240" w:befor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Igualdade de Género</w:t>
            </w:r>
          </w:p>
          <w:p w:rsidR="00000000" w:rsidDel="00000000" w:rsidP="00000000" w:rsidRDefault="00000000" w:rsidRPr="00000000" w14:paraId="000000C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Relacionar a I Guerra Mundial com a aceleração das transformações operadas nos comportamentos, nomeadamente o papel da mulher na sociedade de então.</w:t>
            </w:r>
          </w:p>
          <w:p w:rsidR="00000000" w:rsidDel="00000000" w:rsidP="00000000" w:rsidRDefault="00000000" w:rsidRPr="00000000" w14:paraId="000000D0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Identificar/aplicar o conceito de Feminismo.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Conversa com os alunos; visionamento de pequenos vídeos acerca da condição da mulher no início do séc. XX; reflexão conjunta acerca do que foi e do que é.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História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4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Relacionar a I Guerra Mundial com a aceleração das transformações operadas nos comportamentos, nomeadamente o papel da mulher na sociedade de então.</w:t>
            </w:r>
          </w:p>
          <w:p w:rsidR="00000000" w:rsidDel="00000000" w:rsidP="00000000" w:rsidRDefault="00000000" w:rsidRPr="00000000" w14:paraId="000000D5">
            <w:pPr>
              <w:spacing w:after="240" w:before="24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Identificar/aplicar o conceito de Feminismo.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1º Período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Música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1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EMRC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(CONTINUAÇÃO)</w:t>
      </w:r>
    </w:p>
    <w:p w:rsidR="00000000" w:rsidDel="00000000" w:rsidP="00000000" w:rsidRDefault="00000000" w:rsidRPr="00000000" w14:paraId="0000010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44"/>
        <w:gridCol w:w="3023"/>
        <w:gridCol w:w="1276"/>
        <w:gridCol w:w="2071"/>
        <w:gridCol w:w="2087"/>
        <w:gridCol w:w="1825"/>
        <w:gridCol w:w="2370"/>
        <w:tblGridChange w:id="0">
          <w:tblGrid>
            <w:gridCol w:w="1944"/>
            <w:gridCol w:w="3023"/>
            <w:gridCol w:w="1276"/>
            <w:gridCol w:w="2071"/>
            <w:gridCol w:w="2087"/>
            <w:gridCol w:w="1825"/>
            <w:gridCol w:w="237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Disciplina(s)/Área(s) envolvida(s)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135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137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138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1">
        <w:r w:rsidDel="00000000" w:rsidR="00000000" w:rsidRPr="00000000">
          <w:rPr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clicar</w:t>
      </w:r>
      <w:r w:rsidDel="00000000" w:rsidR="00000000" w:rsidRPr="00000000">
        <w:rPr>
          <w:sz w:val="18"/>
          <w:szCs w:val="18"/>
          <w:rtl w:val="0"/>
        </w:rPr>
        <w:t xml:space="preserve"> para aceder).</w:t>
      </w:r>
    </w:p>
    <w:p w:rsidR="00000000" w:rsidDel="00000000" w:rsidP="00000000" w:rsidRDefault="00000000" w:rsidRPr="00000000" w14:paraId="00000139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disciplinas/áreas; podem ser os “objetivos”, depende do nível de ensino/ano escolar.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Pedrógão Grande, 7 de dezembro de 2020. 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 xml:space="preserve">A Professor(a) titular/ Diretor(a) de Turma: Dina Carvalho</w:t>
      </w:r>
    </w:p>
    <w:sectPr>
      <w:headerReference r:id="rId12" w:type="default"/>
      <w:footerReference r:id="rId13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259900" y="3642840"/>
                        <a:ext cx="6172200" cy="274320"/>
                        <a:chOff x="2259900" y="3642840"/>
                        <a:chExt cx="6172200" cy="274320"/>
                      </a:xfrm>
                    </wpg:grpSpPr>
                    <wpg:grpSp>
                      <wpg:cNvGrpSpPr/>
                      <wpg:grpSpPr>
                        <a:xfrm>
                          <a:off x="2259900" y="364284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172200" cy="27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4472c4"/>
                                  <w:sz w:val="20"/>
                                  <w:vertAlign w:val="baseline"/>
                                </w:rPr>
                                <w:t xml:space="preserve">ESTRATÉGIA DE EDUCAÇÃO PARA A CIDADANIA 2020/2021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1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 | 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808080"/>
                                  <w:sz w:val="20"/>
                                  <w:vertAlign w:val="baseline"/>
                                </w:rPr>
                                <w:t xml:space="preserve">BALANÇO POR PERÍODO</w:t>
                              </w:r>
                            </w:p>
                          </w:txbxContent>
                        </wps:txbx>
                        <wps:bodyPr anchorCtr="0" anchor="t" bIns="45700" lIns="0" spcFirstLastPara="1" rIns="0" wrap="square" tIns="457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2197100</wp:posOffset>
              </wp:positionH>
              <wp:positionV relativeFrom="paragraph">
                <wp:posOffset>0</wp:posOffset>
              </wp:positionV>
              <wp:extent cx="6172200" cy="274320"/>
              <wp:effectExtent b="0" l="0" r="0" t="0"/>
              <wp:wrapNone/>
              <wp:docPr id="16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2743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65000" y="3332325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771525" cy="904875"/>
              <wp:effectExtent b="0" l="0" r="0" t="0"/>
              <wp:wrapNone/>
              <wp:docPr id="16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904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elha">
    <w:name w:val="Table Grid"/>
    <w:basedOn w:val="Tabelanormal"/>
    <w:uiPriority w:val="39"/>
    <w:rsid w:val="002F07A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5B36DF"/>
    <w:pPr>
      <w:ind w:left="720"/>
      <w:contextualSpacing w:val="1"/>
    </w:pPr>
  </w:style>
  <w:style w:type="paragraph" w:styleId="Cabealho">
    <w:name w:val="header"/>
    <w:basedOn w:val="Normal"/>
    <w:link w:val="Cabealho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CabealhoCarter" w:customStyle="1">
    <w:name w:val="Cabeçalho Cará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ter"/>
    <w:uiPriority w:val="99"/>
    <w:unhideWhenUsed w:val="1"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styleId="RodapCarter" w:customStyle="1">
    <w:name w:val="Rodapé Cará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unhideWhenUsed w:val="1"/>
    <w:rsid w:val="00E636A3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 w:val="1"/>
    <w:unhideWhenUsed w:val="1"/>
    <w:rsid w:val="005162B8"/>
    <w:rPr>
      <w:color w:val="954f72" w:themeColor="followedHyperlink"/>
      <w:u w:val="single"/>
    </w:rPr>
  </w:style>
  <w:style w:type="character" w:styleId="UnresolvedMention" w:customStyle="1">
    <w:name w:val="Unresolved Mention"/>
    <w:basedOn w:val="Tipodeletrapredefinidodopargrafo"/>
    <w:uiPriority w:val="99"/>
    <w:semiHidden w:val="1"/>
    <w:unhideWhenUsed w:val="1"/>
    <w:rsid w:val="001552FC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idadania.dge.mec.pt/documentos-referencia" TargetMode="External"/><Relationship Id="rId10" Type="http://schemas.openxmlformats.org/officeDocument/2006/relationships/image" Target="media/image1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7y2WQHGpWqbwJrM6kWWMFZD6sA==">AMUW2mXPNmgLJhHfkhuxaA5izIwPtzzqF2CwnRN3mvSJwWzGzo9KOOa18TLQhbnU491jc7shvJGmyAMrjRr75gBFhPFLzHvPqO0no2q/KY4pyXcDqwwVsv+R4uI0Xo5iBEHpnCaZtwoc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2020-12-07T15:24:00Z</dcterms:created>
  <dc:creator>João Pires</dc:creator>
</cp:coreProperties>
</file>