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4122" w:rsidRDefault="003E41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pPr w:leftFromText="141" w:rightFromText="141" w:vertAnchor="text" w:tblpX="611"/>
        <w:tblW w:w="14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12"/>
        <w:gridCol w:w="3653"/>
      </w:tblGrid>
      <w:tr w:rsidR="003E4122"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4122" w:rsidRDefault="007B3941">
            <w:pPr>
              <w:spacing w:after="0" w:line="240" w:lineRule="auto"/>
              <w:ind w:left="-142" w:righ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28775" cy="723900"/>
                  <wp:effectExtent l="0" t="0" r="0" b="0"/>
                  <wp:docPr id="402" name="image3.jpg" descr="Log novo Educação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 novo Educação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4122" w:rsidRDefault="003E4122">
            <w:pPr>
              <w:spacing w:after="0" w:line="240" w:lineRule="auto"/>
              <w:ind w:left="720"/>
              <w:rPr>
                <w:sz w:val="12"/>
                <w:szCs w:val="12"/>
              </w:rPr>
            </w:pPr>
          </w:p>
          <w:p w:rsidR="003E4122" w:rsidRDefault="007B3941">
            <w:pPr>
              <w:spacing w:before="120" w:after="120" w:line="240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Agrupamento de Escolas de Pedrógão Grande</w:t>
            </w:r>
          </w:p>
          <w:p w:rsidR="003E4122" w:rsidRDefault="007B3941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Escola Básica Miguel Leitão de Andrada</w:t>
            </w:r>
          </w:p>
        </w:tc>
        <w:tc>
          <w:tcPr>
            <w:tcW w:w="3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E4122" w:rsidRDefault="007B3941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66850" cy="733425"/>
                  <wp:effectExtent l="0" t="0" r="0" b="0"/>
                  <wp:docPr id="403" name="image1.jpg" descr="Cores_FundoBranco_semAssinatura_Le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ores_FundoBranco_semAssinatura_Lev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122" w:rsidRDefault="003E4122">
      <w:pPr>
        <w:spacing w:after="0" w:line="240" w:lineRule="auto"/>
        <w:jc w:val="center"/>
        <w:rPr>
          <w:b/>
          <w:sz w:val="28"/>
          <w:szCs w:val="28"/>
        </w:rPr>
      </w:pPr>
    </w:p>
    <w:p w:rsidR="003E4122" w:rsidRDefault="007B394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ESTRATÉGIA DE EDUCAÇÃO PARA A CIDADANIA 2024/2025 – Balanço do 2º período</w:t>
      </w:r>
    </w:p>
    <w:p w:rsidR="003E4122" w:rsidRDefault="007B3941">
      <w:pPr>
        <w:spacing w:before="240" w:after="12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Nível de ensino/Ciclo: 2º Ciclo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Ano: 5º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Turma: B</w:t>
      </w:r>
    </w:p>
    <w:tbl>
      <w:tblPr>
        <w:tblStyle w:val="a0"/>
        <w:tblW w:w="15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4"/>
        <w:gridCol w:w="2379"/>
        <w:gridCol w:w="2392"/>
        <w:gridCol w:w="2542"/>
        <w:gridCol w:w="2339"/>
        <w:gridCol w:w="2584"/>
        <w:gridCol w:w="1473"/>
      </w:tblGrid>
      <w:tr w:rsidR="003E4122">
        <w:trPr>
          <w:trHeight w:val="839"/>
          <w:tblHeader/>
        </w:trPr>
        <w:tc>
          <w:tcPr>
            <w:tcW w:w="1904" w:type="dxa"/>
            <w:vAlign w:val="center"/>
          </w:tcPr>
          <w:p w:rsidR="003E4122" w:rsidRDefault="007B3941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Domínios abordados/ em abordagem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379" w:type="dxa"/>
            <w:vAlign w:val="center"/>
          </w:tcPr>
          <w:p w:rsidR="003E4122" w:rsidRDefault="007B3941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(s)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92" w:type="dxa"/>
            <w:vAlign w:val="center"/>
          </w:tcPr>
          <w:p w:rsidR="003E4122" w:rsidRDefault="007B3941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</w:t>
            </w:r>
            <w:proofErr w:type="spellEnd"/>
          </w:p>
        </w:tc>
        <w:tc>
          <w:tcPr>
            <w:tcW w:w="2542" w:type="dxa"/>
            <w:vAlign w:val="center"/>
          </w:tcPr>
          <w:p w:rsidR="003E4122" w:rsidRDefault="007B3941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)/ Área(s) envolvida(s)</w:t>
            </w:r>
          </w:p>
        </w:tc>
        <w:tc>
          <w:tcPr>
            <w:tcW w:w="2339" w:type="dxa"/>
            <w:vAlign w:val="center"/>
          </w:tcPr>
          <w:p w:rsidR="003E4122" w:rsidRDefault="007B3941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Aprendizagens essenciais alcançadas/ a desenvolver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84" w:type="dxa"/>
            <w:vAlign w:val="center"/>
          </w:tcPr>
          <w:p w:rsidR="003E4122" w:rsidRDefault="007B3941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Outros intervenientes (BE, SPO, PES, parceiros locais, …)</w:t>
            </w:r>
          </w:p>
        </w:tc>
        <w:tc>
          <w:tcPr>
            <w:tcW w:w="1473" w:type="dxa"/>
            <w:vAlign w:val="center"/>
          </w:tcPr>
          <w:p w:rsidR="003E4122" w:rsidRDefault="007B3941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Calendarização</w:t>
            </w:r>
          </w:p>
        </w:tc>
      </w:tr>
      <w:tr w:rsidR="003E4122">
        <w:trPr>
          <w:trHeight w:val="920"/>
        </w:trPr>
        <w:tc>
          <w:tcPr>
            <w:tcW w:w="1904" w:type="dxa"/>
          </w:tcPr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Saúde alimentar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Saúde mental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Prevenção da violência</w:t>
            </w:r>
          </w:p>
        </w:tc>
        <w:tc>
          <w:tcPr>
            <w:tcW w:w="2379" w:type="dxa"/>
          </w:tcPr>
          <w:p w:rsidR="003E4122" w:rsidRDefault="007B3941">
            <w:pPr>
              <w:spacing w:after="0" w:line="235" w:lineRule="auto"/>
              <w:ind w:left="40" w:right="32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Adotar</w:t>
            </w:r>
            <w:proofErr w:type="spellEnd"/>
            <w:r>
              <w:rPr>
                <w:sz w:val="18"/>
                <w:szCs w:val="18"/>
              </w:rPr>
              <w:t xml:space="preserve"> o sentido de pertença individual e social;</w:t>
            </w:r>
          </w:p>
          <w:p w:rsidR="003E4122" w:rsidRDefault="007B3941">
            <w:pPr>
              <w:spacing w:after="0" w:line="235" w:lineRule="auto"/>
              <w:ind w:left="40" w:right="1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- Comunicar de forma positiva, eficaz e assertiva;</w:t>
            </w:r>
          </w:p>
          <w:p w:rsidR="003E4122" w:rsidRDefault="007B3941">
            <w:pPr>
              <w:spacing w:after="0" w:line="235" w:lineRule="auto"/>
              <w:ind w:left="40"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-Desenvolver o autoconhecimento na sua dimensão emocional;</w:t>
            </w:r>
          </w:p>
          <w:p w:rsidR="003E4122" w:rsidRDefault="007B3941">
            <w:pPr>
              <w:spacing w:after="0" w:line="235" w:lineRule="auto"/>
              <w:ind w:left="40"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Construir relações positivas com os outros e com o meio ambiente;</w:t>
            </w:r>
          </w:p>
          <w:p w:rsidR="003E4122" w:rsidRDefault="007B3941">
            <w:pPr>
              <w:spacing w:after="0" w:line="235" w:lineRule="auto"/>
              <w:ind w:left="40"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Intervir de forma eficaz na prevenção de riscos individuais, situacionais e ambientais;</w:t>
            </w:r>
          </w:p>
          <w:p w:rsidR="003E4122" w:rsidRDefault="007B3941">
            <w:pPr>
              <w:spacing w:after="0" w:line="235" w:lineRule="auto"/>
              <w:ind w:left="40" w:right="16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- Desenvolver os valores de cidadania, de solidariedade e de respeito pelas diferenças;</w:t>
            </w:r>
          </w:p>
          <w:p w:rsidR="003E4122" w:rsidRDefault="007B3941">
            <w:pPr>
              <w:spacing w:after="0" w:line="235" w:lineRule="auto"/>
              <w:ind w:left="40"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Adotar</w:t>
            </w:r>
            <w:proofErr w:type="spellEnd"/>
            <w:r>
              <w:rPr>
                <w:sz w:val="18"/>
                <w:szCs w:val="18"/>
              </w:rPr>
              <w:t xml:space="preserve"> comportamentos resilientes;</w:t>
            </w:r>
          </w:p>
          <w:p w:rsidR="003E4122" w:rsidRDefault="007B3941">
            <w:pPr>
              <w:spacing w:after="0" w:line="235" w:lineRule="auto"/>
              <w:ind w:left="40"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Reconhecer a </w:t>
            </w:r>
            <w:r>
              <w:rPr>
                <w:sz w:val="18"/>
                <w:szCs w:val="18"/>
              </w:rPr>
              <w:lastRenderedPageBreak/>
              <w:t>alimentação como um dos principais determinantes da saúde;</w:t>
            </w:r>
          </w:p>
          <w:p w:rsidR="003E4122" w:rsidRDefault="007B3941">
            <w:pPr>
              <w:spacing w:after="0" w:line="235" w:lineRule="auto"/>
              <w:ind w:left="40" w:right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Reconhecer a Dieta Mediterrânica como exemplo de um padrão alimentar saudável;</w:t>
            </w:r>
          </w:p>
          <w:p w:rsidR="003E4122" w:rsidRDefault="007B3941">
            <w:pPr>
              <w:spacing w:after="0" w:line="235" w:lineRule="auto"/>
              <w:ind w:left="40"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Reconhecer o Direito à Alimentação como um direito humano consagrado pelas Nações Unidas;</w:t>
            </w:r>
          </w:p>
          <w:p w:rsidR="003E4122" w:rsidRDefault="007B3941">
            <w:pPr>
              <w:spacing w:after="0" w:line="235" w:lineRule="auto"/>
              <w:ind w:left="40" w:right="160" w:hanging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Reconhecer a escola como um espaço próprio para a promoção da alimentação saudável e </w:t>
            </w:r>
            <w:proofErr w:type="spellStart"/>
            <w:r>
              <w:rPr>
                <w:sz w:val="18"/>
                <w:szCs w:val="18"/>
              </w:rPr>
              <w:t>adoção</w:t>
            </w:r>
            <w:proofErr w:type="spellEnd"/>
            <w:r>
              <w:rPr>
                <w:sz w:val="18"/>
                <w:szCs w:val="18"/>
              </w:rPr>
              <w:t xml:space="preserve"> de comportamentos alimentares equilibrados;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 Compreender como a prática de </w:t>
            </w:r>
            <w:proofErr w:type="spellStart"/>
            <w:r>
              <w:rPr>
                <w:sz w:val="20"/>
                <w:szCs w:val="20"/>
              </w:rPr>
              <w:t>Atividade</w:t>
            </w:r>
            <w:proofErr w:type="spellEnd"/>
            <w:r>
              <w:rPr>
                <w:sz w:val="20"/>
                <w:szCs w:val="20"/>
              </w:rPr>
              <w:t xml:space="preserve"> Física favorece o desenvolvimento integral da criança e do jovem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18"/>
                <w:szCs w:val="18"/>
              </w:rPr>
              <w:t>- Reconhecer regras básicas de segurança na plataforma.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Perceber que a palavra-passe é secreta.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Identificar e </w:t>
            </w:r>
            <w:proofErr w:type="spellStart"/>
            <w:r>
              <w:rPr>
                <w:sz w:val="18"/>
                <w:szCs w:val="18"/>
              </w:rPr>
              <w:t>refletir</w:t>
            </w:r>
            <w:proofErr w:type="spellEnd"/>
            <w:r>
              <w:rPr>
                <w:sz w:val="18"/>
                <w:szCs w:val="18"/>
              </w:rPr>
              <w:t xml:space="preserve"> sobre </w:t>
            </w:r>
            <w:proofErr w:type="spellStart"/>
            <w:r>
              <w:rPr>
                <w:sz w:val="18"/>
                <w:szCs w:val="18"/>
              </w:rPr>
              <w:lastRenderedPageBreak/>
              <w:t>objetos</w:t>
            </w:r>
            <w:proofErr w:type="spellEnd"/>
            <w:r>
              <w:rPr>
                <w:sz w:val="18"/>
                <w:szCs w:val="18"/>
              </w:rPr>
              <w:t xml:space="preserve"> que têm computadores instalados.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Explicar o que fazem e para que servem alguns </w:t>
            </w:r>
            <w:proofErr w:type="spellStart"/>
            <w:r>
              <w:rPr>
                <w:sz w:val="18"/>
                <w:szCs w:val="18"/>
              </w:rPr>
              <w:t>objetos</w:t>
            </w:r>
            <w:proofErr w:type="spellEnd"/>
            <w:r>
              <w:rPr>
                <w:sz w:val="18"/>
                <w:szCs w:val="18"/>
              </w:rPr>
              <w:t xml:space="preserve"> que têm computadores instalados.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Saber o que é o código.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Saber o que é a reciclagem e reconhecer a sua importância.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Explicar para que servem os planos de construção dos robôs.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Construir robôs virtuais na plataforma.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Explicar o que são regras.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Saber a importância das regras para a programação.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Explicar o que são algoritmos.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Selecionar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comandos de instruções (frente, trás, cima, baixo) para </w:t>
            </w:r>
            <w:r>
              <w:rPr>
                <w:sz w:val="18"/>
                <w:szCs w:val="18"/>
              </w:rPr>
              <w:lastRenderedPageBreak/>
              <w:t>movimentar</w:t>
            </w:r>
            <w:proofErr w:type="gramEnd"/>
            <w:r>
              <w:rPr>
                <w:sz w:val="18"/>
                <w:szCs w:val="18"/>
              </w:rPr>
              <w:t xml:space="preserve"> um robô virtual.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Programar um robô humano.</w:t>
            </w:r>
          </w:p>
          <w:p w:rsidR="003E4122" w:rsidRDefault="007B3941">
            <w:pPr>
              <w:spacing w:befor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Explicar o que é uma sequência.</w:t>
            </w:r>
          </w:p>
          <w:p w:rsidR="003E4122" w:rsidRDefault="007B3941">
            <w:pPr>
              <w:spacing w:before="240" w:after="0"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- Usar vocabulário específico para expressar uma ideia (algoritmo e sequência).</w:t>
            </w:r>
          </w:p>
        </w:tc>
        <w:tc>
          <w:tcPr>
            <w:tcW w:w="2392" w:type="dxa"/>
          </w:tcPr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Realização da exposição com os trabalhos desenvolvidos e os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objetos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elaborados no 1º P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Atividade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em grupo para introduzir a educação financeira.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Visionamento de vídeos sobre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educação alimentar, saúde mental e prevenção da violência 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atividade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física.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Realização de fichas de reflexão e de verificação de conhecimentos baseadas nos documentos visualizados e debatidos.</w:t>
            </w:r>
          </w:p>
          <w:p w:rsidR="003E4122" w:rsidRDefault="003E4122">
            <w:pPr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2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HGP</w:t>
            </w:r>
          </w:p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PORTUGUÊS</w:t>
            </w:r>
          </w:p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EVT</w:t>
            </w:r>
          </w:p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CIÊNCIAS NATURAIS</w:t>
            </w:r>
          </w:p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INGLÊS</w:t>
            </w:r>
          </w:p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CIDADANIA E DESENVOLVIMENTO</w:t>
            </w:r>
          </w:p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TIC</w:t>
            </w:r>
          </w:p>
        </w:tc>
        <w:tc>
          <w:tcPr>
            <w:tcW w:w="2339" w:type="dxa"/>
          </w:tcPr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Colaboração.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Compreensão e expressão.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Coordenação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olho-mão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Criatividade.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Literacia digital.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Participação.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Pensamento crítico.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social.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Transformação da informação em conhecimento.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Resolução de problemas.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- Capacidade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percetivo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-motora.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Ambiental.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Algoritmos e Programação (algoritmos e controlo).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Sistemas de computação (dispositivos, hardware e software).</w:t>
            </w:r>
          </w:p>
        </w:tc>
        <w:tc>
          <w:tcPr>
            <w:tcW w:w="2584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BE</w:t>
            </w:r>
          </w:p>
        </w:tc>
        <w:tc>
          <w:tcPr>
            <w:tcW w:w="1473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8"/>
                <w:szCs w:val="28"/>
              </w:rPr>
              <w:t xml:space="preserve">2º </w:t>
            </w:r>
          </w:p>
        </w:tc>
      </w:tr>
      <w:tr w:rsidR="003E4122">
        <w:trPr>
          <w:trHeight w:val="920"/>
        </w:trPr>
        <w:tc>
          <w:tcPr>
            <w:tcW w:w="1904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Interculturalidade</w:t>
            </w:r>
          </w:p>
        </w:tc>
        <w:tc>
          <w:tcPr>
            <w:tcW w:w="2379" w:type="dxa"/>
          </w:tcPr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Identificar a diversidade de crenças e valores em função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fatores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históricos, geográficos e culturais.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Reconhecer e aceitar a diversidade de situações, gostos e preferências entre os seus colegas.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Saber respeitar o outro independentemente das suas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caraterísticas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físicas ou outras</w:t>
            </w:r>
          </w:p>
        </w:tc>
        <w:tc>
          <w:tcPr>
            <w:tcW w:w="2392" w:type="dxa"/>
          </w:tcPr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Leitura de textos.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Realização de trabalhos escritos e debate sobre o tema.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Visionamento de vídeos.</w:t>
            </w:r>
          </w:p>
        </w:tc>
        <w:tc>
          <w:tcPr>
            <w:tcW w:w="2542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INGLÊS</w:t>
            </w:r>
          </w:p>
        </w:tc>
        <w:tc>
          <w:tcPr>
            <w:tcW w:w="2339" w:type="dxa"/>
          </w:tcPr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Reconhecer elementos constitutivos da sua própria cultura 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da(s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cultura(s) de língua estrangeira: diferentes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aspetos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si próprio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identificar pessoas, lugares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aspetos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que são importantes para si e para a sua cultura.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Identificar espaços de realidades culturais diferentes (a comunidade dos outros).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- Localizar no mapa alguns países de expressão inglesa.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Associar capitais e algumas cidades desses países estudados.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Reconhecer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aspetos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culturais de países de expressão inglesa, tais como bandeiras e símbolos nacionais.</w:t>
            </w:r>
          </w:p>
        </w:tc>
        <w:tc>
          <w:tcPr>
            <w:tcW w:w="2584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1ºP</w:t>
            </w:r>
          </w:p>
        </w:tc>
      </w:tr>
      <w:tr w:rsidR="003E4122">
        <w:trPr>
          <w:trHeight w:val="920"/>
        </w:trPr>
        <w:tc>
          <w:tcPr>
            <w:tcW w:w="1904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Literacia financeira e educação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consumo</w:t>
            </w:r>
          </w:p>
        </w:tc>
        <w:tc>
          <w:tcPr>
            <w:tcW w:w="2379" w:type="dxa"/>
          </w:tcPr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Aquisição e desenvolvimento de conhecimentos e capacidades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as decisões que, no presente e no futuro, tenham de tomar sobre as suas finanças pessoais, habilitando-os como consumidores.</w:t>
            </w:r>
          </w:p>
        </w:tc>
        <w:tc>
          <w:tcPr>
            <w:tcW w:w="2392" w:type="dxa"/>
          </w:tcPr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Ação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 literacia financeira “Gestão do Orçamento”</w:t>
            </w:r>
          </w:p>
        </w:tc>
        <w:tc>
          <w:tcPr>
            <w:tcW w:w="2542" w:type="dxa"/>
          </w:tcPr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Matemática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Cidadania e Desenvolvimento</w:t>
            </w:r>
          </w:p>
        </w:tc>
        <w:tc>
          <w:tcPr>
            <w:tcW w:w="2339" w:type="dxa"/>
          </w:tcPr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Distinguir necessidades e desejos.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Distinguir despesas e rendimentos.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Elaboração de um orçamento.</w:t>
            </w:r>
          </w:p>
        </w:tc>
        <w:tc>
          <w:tcPr>
            <w:tcW w:w="2584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</w:t>
            </w:r>
          </w:p>
        </w:tc>
        <w:tc>
          <w:tcPr>
            <w:tcW w:w="1473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1º P</w:t>
            </w:r>
          </w:p>
        </w:tc>
      </w:tr>
      <w:tr w:rsidR="003E4122">
        <w:trPr>
          <w:trHeight w:val="92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240"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Saúde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4122" w:rsidRDefault="007B3941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-Promover o bem-estar e a saúde individual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coletiva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3E4122" w:rsidRDefault="007B3941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-Promover 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gosto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prática regular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atividade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física.</w:t>
            </w:r>
          </w:p>
          <w:p w:rsidR="003E4122" w:rsidRDefault="007B3941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proceder perante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comentários desagradáveis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nas redes sociais.</w:t>
            </w:r>
          </w:p>
          <w:p w:rsidR="003E4122" w:rsidRDefault="007B3941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respeitar os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códigos de conduta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3E4122" w:rsidRDefault="007B3941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que não se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devem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fotografar sessões síncronas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sem o consentimento de todos os participantes.</w:t>
            </w:r>
          </w:p>
          <w:p w:rsidR="003E4122" w:rsidRDefault="007B3941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como proceder com a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marcação de encontros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online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com desconhecidos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3E4122" w:rsidRDefault="007B3941">
            <w:pPr>
              <w:spacing w:before="240" w:after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Ter consciência dos perigos devido ao alheamento causado pelo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uso sistemático do telemóvel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3E4122" w:rsidRDefault="007B3941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Saber os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perigos de não desligar os dados do telemóvel durante a noite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4122" w:rsidRDefault="007B3941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 Aplicação da bateria de testes da Plataforma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Fitescola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®</w:t>
            </w:r>
          </w:p>
          <w:p w:rsidR="003E4122" w:rsidRDefault="007B3941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Desenvolvimento das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A.E. da disciplina de EDF.</w:t>
            </w:r>
          </w:p>
          <w:p w:rsidR="003E4122" w:rsidRDefault="007B3941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Desenvolvimento do 2.º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Desafio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Seguranet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sobre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Não à Violência Online.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4122" w:rsidRDefault="007B3941">
            <w:pPr>
              <w:spacing w:before="240" w:after="16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Educação  Física</w:t>
            </w:r>
            <w:proofErr w:type="gramEnd"/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4122" w:rsidRDefault="007B3941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-Conhecer os processos fundamentais das adaptações morfológicas, funcionais e psicológicas, que lhe permite compreender os diversos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fatores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 aptidão física.</w:t>
            </w:r>
          </w:p>
          <w:p w:rsidR="003E4122" w:rsidRDefault="007B3941">
            <w:pPr>
              <w:spacing w:after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-Saúde (promoção da saúde, saúde pública, alimentação, exercício físico).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Colaboração.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Compreensão e expressão.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Literacia digital.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Participação.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Pensamento crítico.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Responsabilidade social.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Atuar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perante comentários desagradáveis.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Respeito pelos códigos de conduta.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Autorização para fotografar sessões síncronas.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Não marcar encontros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online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com desconhecidos.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Não usar sistematicamente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 telemóvel.</w:t>
            </w:r>
          </w:p>
          <w:p w:rsidR="003E4122" w:rsidRDefault="007B3941">
            <w:pPr>
              <w:spacing w:after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Desligar os dados do telemóvel durante a noite.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4122" w:rsidRDefault="003E4122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4122" w:rsidRDefault="007B3941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1ºP</w:t>
            </w:r>
          </w:p>
        </w:tc>
      </w:tr>
      <w:tr w:rsidR="003E4122">
        <w:trPr>
          <w:trHeight w:val="92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140" w:after="1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Segurança Rodoviária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-Identificar comportamentos adequados e inadequados e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comportamentos seguros, enquanto condutor;</w:t>
            </w:r>
          </w:p>
          <w:p w:rsidR="003E4122" w:rsidRDefault="007B3941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-Analisar criticamente o ambiente rodoviário e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atitudes e comportamentos sociais e cívicos adequados.</w:t>
            </w:r>
          </w:p>
          <w:p w:rsidR="003E4122" w:rsidRDefault="007B3941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-Identificar os </w:t>
            </w:r>
            <w:proofErr w:type="gram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sinais de trânsito luminosos, verticais e horizontais de maior interesse para</w:t>
            </w:r>
            <w:proofErr w:type="gram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o condutor.</w:t>
            </w:r>
          </w:p>
          <w:p w:rsidR="003E4122" w:rsidRDefault="007B3941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-Conhecer as regras de condução de bicicletas.</w:t>
            </w:r>
          </w:p>
          <w:p w:rsidR="003E4122" w:rsidRDefault="007B3941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-Compreender a importância da manutenção dos veículos.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140" w:after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-Treinos do grupo-equipa DE Sobre Rodas - Desporto Escolar;</w:t>
            </w:r>
          </w:p>
          <w:p w:rsidR="003E4122" w:rsidRDefault="007B3941">
            <w:pPr>
              <w:spacing w:before="140" w:after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-Passeios de bicicleta em ambiente rodoviário.</w:t>
            </w:r>
          </w:p>
          <w:p w:rsidR="003E4122" w:rsidRDefault="007B3941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140" w:after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Educação Física / Clube de Desporto Escolar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-O aluno desenvolve e aprofunda o seu conhecimento sobre o ambiente rodoviário, estabelecendo com os outros e com o meio envolvente um sistema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interações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enquanto condutor. Na medida em que se autonomiza, assume a condução como um ato de responsabilidade individual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coletiva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aconselha uma atitude moderada e defensiva.</w:t>
            </w:r>
          </w:p>
          <w:p w:rsidR="003E4122" w:rsidRDefault="007B3941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-O aluno desenvolve e aprofunda o seu conhecimento sobre o ambiente rodoviário e assume-se como elemento integrante do sistema, aprendendo a conviver e a partilhar o espaço público com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segurança, responsabilidade e respeito.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4122" w:rsidRDefault="003E4122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E4122" w:rsidRDefault="007B3941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1ºP</w:t>
            </w:r>
          </w:p>
          <w:p w:rsidR="003E4122" w:rsidRDefault="003E4122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E4122" w:rsidRDefault="003E4122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4122">
        <w:trPr>
          <w:trHeight w:val="920"/>
        </w:trPr>
        <w:tc>
          <w:tcPr>
            <w:tcW w:w="1904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Risco/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Cibersegurança</w:t>
            </w:r>
            <w:proofErr w:type="spellEnd"/>
          </w:p>
        </w:tc>
        <w:tc>
          <w:tcPr>
            <w:tcW w:w="2379" w:type="dxa"/>
          </w:tcPr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Induzir nos alunos uma política de utilização esclarecida, crítica e segura das tecnologias em geral e da Internet em particular.</w:t>
            </w:r>
          </w:p>
        </w:tc>
        <w:tc>
          <w:tcPr>
            <w:tcW w:w="2392" w:type="dxa"/>
          </w:tcPr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Desenvolvimento do 1.º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Desafio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Seguranet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sobre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Cibersegurança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assente nas vulnerabilidades.</w:t>
            </w:r>
          </w:p>
        </w:tc>
        <w:tc>
          <w:tcPr>
            <w:tcW w:w="2542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TIC</w:t>
            </w:r>
          </w:p>
        </w:tc>
        <w:tc>
          <w:tcPr>
            <w:tcW w:w="2339" w:type="dxa"/>
          </w:tcPr>
          <w:p w:rsidR="003E4122" w:rsidRDefault="007B3941">
            <w:pPr>
              <w:spacing w:before="240"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- Que medidas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devemos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tomar se formos vítimas de uma burla quando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efetuamos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compras online;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 A importância da utilização das VPN;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 Regras para a utilização segura da Internet</w:t>
            </w:r>
          </w:p>
          <w:p w:rsidR="003E4122" w:rsidRDefault="007B3941">
            <w:pPr>
              <w:spacing w:before="240"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- Como combater o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phishing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smishing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vishing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;</w:t>
            </w:r>
          </w:p>
          <w:p w:rsidR="003E4122" w:rsidRDefault="007B3941">
            <w:pPr>
              <w:spacing w:before="240"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 Cifrar dados ou criar pastas de acesso restrito em ficheiros que contenham informação sensível e dados pessoais.</w:t>
            </w:r>
          </w:p>
        </w:tc>
        <w:tc>
          <w:tcPr>
            <w:tcW w:w="2584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3E4122" w:rsidRDefault="007B3941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1.º Período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letivo</w:t>
            </w:r>
            <w:proofErr w:type="spellEnd"/>
          </w:p>
        </w:tc>
      </w:tr>
      <w:tr w:rsidR="003E4122">
        <w:trPr>
          <w:trHeight w:val="920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3E4122" w:rsidRDefault="007B3941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SAÚDE</w:t>
            </w:r>
          </w:p>
        </w:tc>
        <w:tc>
          <w:tcPr>
            <w:tcW w:w="2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240" w:after="240"/>
              <w:ind w:lef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Tomada de consciência da importância dos cuidados a ter com as cordas vocais – 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voz.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Desenvolvimento de uma postura corporal correta para cantar</w:t>
            </w:r>
          </w:p>
          <w:p w:rsidR="003E4122" w:rsidRDefault="003E4122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Interpretação de peças musicais corais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Educação Musical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- Cantar, a solo e em grupo, a uma e duas vozes, repertório variado com e sem acompanhamento instrumental, evidenciando confiança e domínio básico da técnica vocal.-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Interpretar, através do movimento corporal, contextos musicais contrastantes.</w:t>
            </w:r>
          </w:p>
          <w:p w:rsidR="003E4122" w:rsidRDefault="007B3941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Cria produtos artísticos diversificados (instalações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sonoras,  concertos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teatros musicais,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espetáculos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multimédia...),  articulando a música com outras formas de arte e utilizando  diferentes formas de produção musical.</w:t>
            </w:r>
          </w:p>
          <w:p w:rsidR="003E4122" w:rsidRDefault="007B3941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Apresentar publicamente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artísticas em que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se  articula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 música com outras áreas do conhecimento.</w:t>
            </w:r>
          </w:p>
        </w:tc>
        <w:tc>
          <w:tcPr>
            <w:tcW w:w="2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3E4122" w:rsidRDefault="007B3941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3E4122" w:rsidRDefault="007B3941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1ºPeríodo</w:t>
            </w:r>
          </w:p>
        </w:tc>
      </w:tr>
      <w:tr w:rsidR="003E4122">
        <w:trPr>
          <w:trHeight w:val="828"/>
        </w:trPr>
        <w:tc>
          <w:tcPr>
            <w:tcW w:w="1904" w:type="dxa"/>
          </w:tcPr>
          <w:p w:rsidR="003E4122" w:rsidRDefault="003E4122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79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42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9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84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3E4122" w:rsidRDefault="003E4122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3E4122" w:rsidRDefault="003E4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</w:p>
    <w:p w:rsidR="003E4122" w:rsidRDefault="007B3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NOTAS: </w:t>
      </w:r>
    </w:p>
    <w:p w:rsidR="003E4122" w:rsidRDefault="007B3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1 </w:t>
      </w:r>
      <w:r>
        <w:rPr>
          <w:rFonts w:ascii="Calibri" w:eastAsia="Calibri" w:hAnsi="Calibri" w:cs="Calibri"/>
          <w:i/>
          <w:sz w:val="18"/>
          <w:szCs w:val="18"/>
        </w:rPr>
        <w:t xml:space="preserve">– Domínios </w:t>
      </w:r>
      <w:r>
        <w:rPr>
          <w:rFonts w:ascii="Calibri" w:eastAsia="Calibri" w:hAnsi="Calibri" w:cs="Calibri"/>
          <w:i/>
          <w:sz w:val="16"/>
          <w:szCs w:val="16"/>
        </w:rPr>
        <w:t>(n.º 2 do artigo 11.º da Portaria 223-A/2018)</w:t>
      </w:r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Direitos Humanos; Igualdade de Género; Interculturalidade; Desenvolvimento Sustentável; Educação Ambiental; Saúde. </w:t>
      </w:r>
    </w:p>
    <w:p w:rsidR="003E4122" w:rsidRDefault="007B3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Sexualidade; Media; Instituições e participação democrática; Literacia financeira e educação </w:t>
      </w:r>
      <w:proofErr w:type="gramStart"/>
      <w:r>
        <w:rPr>
          <w:rFonts w:ascii="Calibri" w:eastAsia="Calibri" w:hAnsi="Calibri" w:cs="Calibri"/>
          <w:sz w:val="18"/>
          <w:szCs w:val="18"/>
        </w:rPr>
        <w:t>para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o consumo; Segurança Rodoviária; Risco;</w:t>
      </w:r>
    </w:p>
    <w:p w:rsidR="003E4122" w:rsidRDefault="007B3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Empreendedorismo; Mundo do trabalho; Segurança, defesa e paz; Bem-estar animal; Voluntariado. </w:t>
      </w:r>
    </w:p>
    <w:p w:rsidR="003E4122" w:rsidRDefault="007B394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 </w:t>
      </w:r>
      <w:r>
        <w:rPr>
          <w:rFonts w:ascii="Calibri" w:eastAsia="Calibri" w:hAnsi="Calibri" w:cs="Calibri"/>
          <w:i/>
          <w:sz w:val="18"/>
          <w:szCs w:val="18"/>
        </w:rPr>
        <w:t xml:space="preserve">–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Objetivos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são </w:t>
      </w:r>
      <w:proofErr w:type="spellStart"/>
      <w:r>
        <w:rPr>
          <w:rFonts w:ascii="Calibri" w:eastAsia="Calibri" w:hAnsi="Calibri" w:cs="Calibri"/>
          <w:sz w:val="18"/>
          <w:szCs w:val="18"/>
        </w:rPr>
        <w:t>selecionados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 entre os que constam dos referenciais de cada domínio, quando existam – disponíveis em </w:t>
      </w:r>
      <w:r>
        <w:rPr>
          <w:rFonts w:ascii="Calibri" w:eastAsia="Calibri" w:hAnsi="Calibri" w:cs="Calibri"/>
          <w:color w:val="0000FF"/>
          <w:sz w:val="18"/>
          <w:szCs w:val="18"/>
        </w:rPr>
        <w:t>https://cidadania.dge.mec.pt/documentos-referencia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:rsidR="003E4122" w:rsidRDefault="007B3941">
      <w:pPr>
        <w:spacing w:before="120"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3 </w:t>
      </w:r>
      <w:r>
        <w:rPr>
          <w:rFonts w:ascii="Calibri" w:eastAsia="Calibri" w:hAnsi="Calibri" w:cs="Calibri"/>
          <w:i/>
          <w:sz w:val="18"/>
          <w:szCs w:val="18"/>
        </w:rPr>
        <w:t>– Aprendizagens essenciais</w:t>
      </w:r>
      <w:r>
        <w:rPr>
          <w:rFonts w:ascii="Calibri" w:eastAsia="Calibri" w:hAnsi="Calibri" w:cs="Calibri"/>
          <w:sz w:val="18"/>
          <w:szCs w:val="18"/>
        </w:rPr>
        <w:t>: aquelas que estão definidas nas planificações das disciplinas.</w:t>
      </w:r>
    </w:p>
    <w:p w:rsidR="003E4122" w:rsidRDefault="007B3941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Pedrógão Grande, ___ de </w:t>
      </w:r>
      <w:proofErr w:type="spellStart"/>
      <w:r>
        <w:rPr>
          <w:rFonts w:ascii="Calibri" w:eastAsia="Calibri" w:hAnsi="Calibri" w:cs="Calibri"/>
        </w:rPr>
        <w:t>abril</w:t>
      </w:r>
      <w:proofErr w:type="spellEnd"/>
      <w:r>
        <w:rPr>
          <w:rFonts w:ascii="Calibri" w:eastAsia="Calibri" w:hAnsi="Calibri" w:cs="Calibri"/>
        </w:rPr>
        <w:t xml:space="preserve"> de 2025</w:t>
      </w:r>
    </w:p>
    <w:p w:rsidR="003E4122" w:rsidRDefault="007B3941">
      <w:pPr>
        <w:spacing w:before="240"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O(A</w:t>
      </w:r>
      <w:proofErr w:type="gramEnd"/>
      <w:r>
        <w:rPr>
          <w:rFonts w:ascii="Calibri" w:eastAsia="Calibri" w:hAnsi="Calibri" w:cs="Calibri"/>
        </w:rPr>
        <w:t>) Professor(a)/</w:t>
      </w:r>
      <w:proofErr w:type="spellStart"/>
      <w:r>
        <w:rPr>
          <w:rFonts w:ascii="Calibri" w:eastAsia="Calibri" w:hAnsi="Calibri" w:cs="Calibri"/>
        </w:rPr>
        <w:t>Diretor</w:t>
      </w:r>
      <w:proofErr w:type="spellEnd"/>
      <w:r>
        <w:rPr>
          <w:rFonts w:ascii="Calibri" w:eastAsia="Calibri" w:hAnsi="Calibri" w:cs="Calibri"/>
        </w:rPr>
        <w:t>(a) de Turma: Eunice Reis</w:t>
      </w:r>
    </w:p>
    <w:sectPr w:rsidR="003E4122">
      <w:headerReference w:type="default" r:id="rId10"/>
      <w:footerReference w:type="default" r:id="rId11"/>
      <w:headerReference w:type="first" r:id="rId12"/>
      <w:pgSz w:w="16837" w:h="11905" w:orient="landscape"/>
      <w:pgMar w:top="720" w:right="720" w:bottom="720" w:left="720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0C" w:rsidRDefault="007B3941">
      <w:pPr>
        <w:spacing w:after="0" w:line="240" w:lineRule="auto"/>
      </w:pPr>
      <w:r>
        <w:separator/>
      </w:r>
    </w:p>
  </w:endnote>
  <w:endnote w:type="continuationSeparator" w:id="0">
    <w:p w:rsidR="00AD400C" w:rsidRDefault="007B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22" w:rsidRDefault="007B3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ESTRATÉGIA DE EDUCAÇÃO PARA A CIDADANIA 2024/2025 | BALANÇO DO _2º__PERÍODO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0C" w:rsidRDefault="007B3941">
      <w:pPr>
        <w:spacing w:after="0" w:line="240" w:lineRule="auto"/>
      </w:pPr>
      <w:r>
        <w:separator/>
      </w:r>
    </w:p>
  </w:footnote>
  <w:footnote w:type="continuationSeparator" w:id="0">
    <w:p w:rsidR="00AD400C" w:rsidRDefault="007B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22" w:rsidRDefault="003E41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3E4122" w:rsidRDefault="003E41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3E4122" w:rsidRDefault="003E41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22" w:rsidRDefault="003E41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1"/>
      <w:tblW w:w="9888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18"/>
      <w:gridCol w:w="4961"/>
      <w:gridCol w:w="2409"/>
    </w:tblGrid>
    <w:tr w:rsidR="003E4122">
      <w:tc>
        <w:tcPr>
          <w:tcW w:w="251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3E4122" w:rsidRDefault="007B3941">
          <w:pPr>
            <w:spacing w:after="0" w:line="240" w:lineRule="auto"/>
            <w:ind w:left="720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l="0" t="0" r="0" b="0"/>
                <wp:wrapSquare wrapText="bothSides" distT="0" distB="0" distL="114300" distR="114300"/>
                <wp:docPr id="40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3E4122" w:rsidRDefault="003E4122">
          <w:pPr>
            <w:spacing w:after="0" w:line="240" w:lineRule="auto"/>
            <w:ind w:left="720"/>
            <w:rPr>
              <w:sz w:val="12"/>
              <w:szCs w:val="12"/>
            </w:rPr>
          </w:pPr>
        </w:p>
        <w:p w:rsidR="003E4122" w:rsidRDefault="007B3941">
          <w:pPr>
            <w:spacing w:after="0" w:line="240" w:lineRule="auto"/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Agrupamento de Escolas de Pedrógão Grande</w:t>
          </w:r>
        </w:p>
        <w:p w:rsidR="003E4122" w:rsidRDefault="007B3941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Escola Básica Miguel Leitão de Andrada</w:t>
          </w:r>
        </w:p>
        <w:p w:rsidR="003E4122" w:rsidRDefault="007B3941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Tel</w:t>
          </w:r>
          <w:proofErr w:type="spellEnd"/>
          <w:r>
            <w:rPr>
              <w:sz w:val="22"/>
              <w:szCs w:val="22"/>
            </w:rPr>
            <w:t>: 236 486 267</w:t>
          </w:r>
        </w:p>
        <w:p w:rsidR="003E4122" w:rsidRDefault="007B3941">
          <w:pPr>
            <w:spacing w:after="0" w:line="240" w:lineRule="auto"/>
            <w:ind w:left="360"/>
            <w:jc w:val="center"/>
          </w:pPr>
          <w:proofErr w:type="gramStart"/>
          <w:r>
            <w:rPr>
              <w:sz w:val="22"/>
              <w:szCs w:val="22"/>
            </w:rPr>
            <w:t>Mail</w:t>
          </w:r>
          <w:proofErr w:type="gramEnd"/>
          <w:r>
            <w:rPr>
              <w:sz w:val="22"/>
              <w:szCs w:val="22"/>
            </w:rPr>
            <w:t>: geral</w:t>
          </w:r>
          <w:r>
            <w:rPr>
              <w:rFonts w:ascii="Andalus" w:eastAsia="Andalus" w:hAnsi="Andalus" w:cs="Andalus"/>
              <w:sz w:val="22"/>
              <w:szCs w:val="22"/>
            </w:rPr>
            <w:t>@</w:t>
          </w:r>
          <w:r>
            <w:rPr>
              <w:sz w:val="22"/>
              <w:szCs w:val="22"/>
            </w:rPr>
            <w:t>agpedrogao.pt</w:t>
          </w:r>
        </w:p>
      </w:tc>
      <w:tc>
        <w:tcPr>
          <w:tcW w:w="24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3E4122" w:rsidRDefault="003E4122">
          <w:pPr>
            <w:spacing w:after="0" w:line="240" w:lineRule="auto"/>
            <w:ind w:left="720"/>
          </w:pPr>
        </w:p>
        <w:p w:rsidR="003E4122" w:rsidRDefault="007B3941">
          <w:pPr>
            <w:spacing w:after="0" w:line="240" w:lineRule="auto"/>
            <w:ind w:left="-108"/>
          </w:pPr>
          <w:r>
            <w:rPr>
              <w:noProof/>
              <w:lang w:eastAsia="pt-PT"/>
            </w:rPr>
            <w:drawing>
              <wp:inline distT="0" distB="0" distL="0" distR="0">
                <wp:extent cx="1466850" cy="733425"/>
                <wp:effectExtent l="0" t="0" r="0" b="0"/>
                <wp:docPr id="404" name="image4.jpg" descr="Cores_FundoBranco_semAssinatura_Lev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ores_FundoBranco_semAssinatura_Lev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E4122" w:rsidRDefault="003E41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</w:rPr>
    </w:pPr>
  </w:p>
  <w:p w:rsidR="003E4122" w:rsidRDefault="007B3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</w:rPr>
    </w:pPr>
    <w:r>
      <w:rPr>
        <w:b/>
      </w:rPr>
      <w:t xml:space="preserve">Matrículas e </w:t>
    </w:r>
    <w:proofErr w:type="spellStart"/>
    <w:r>
      <w:rPr>
        <w:b/>
      </w:rPr>
      <w:t>Atualização</w:t>
    </w:r>
    <w:proofErr w:type="spellEnd"/>
    <w:r>
      <w:rPr>
        <w:b/>
      </w:rPr>
      <w:t xml:space="preserve"> processos dos alunos - 2018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4122"/>
    <w:rsid w:val="00181189"/>
    <w:rsid w:val="003E4122"/>
    <w:rsid w:val="007B3941"/>
    <w:rsid w:val="00A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customStyle="1" w:styleId="TableParagraph">
    <w:name w:val="Table Paragraph"/>
    <w:basedOn w:val="Normal"/>
    <w:uiPriority w:val="1"/>
    <w:qFormat/>
    <w:rsid w:val="007406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kern w:val="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customStyle="1" w:styleId="TableParagraph">
    <w:name w:val="Table Paragraph"/>
    <w:basedOn w:val="Normal"/>
    <w:uiPriority w:val="1"/>
    <w:qFormat/>
    <w:rsid w:val="007406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kern w:val="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9Xc5obVW2LrN9TYrsEkw/UoWQ==">CgMxLjAyCGguZ2pkZ3hzOAByITFTdmtBaHBkWUhGZnNGLTR0aEx3VVB4MTVyb0hjUlBfNg==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1458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Professor</cp:lastModifiedBy>
  <cp:revision>2</cp:revision>
  <dcterms:created xsi:type="dcterms:W3CDTF">2025-05-28T09:47:00Z</dcterms:created>
  <dcterms:modified xsi:type="dcterms:W3CDTF">2025-05-28T09:47:00Z</dcterms:modified>
</cp:coreProperties>
</file>