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212.99999999999955" w:tblpY="0"/>
        <w:tblW w:w="141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7012"/>
        <w:gridCol w:w="3653"/>
        <w:tblGridChange w:id="0">
          <w:tblGrid>
            <w:gridCol w:w="3510"/>
            <w:gridCol w:w="7012"/>
            <w:gridCol w:w="36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42" w:right="-108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628775" cy="723900"/>
                  <wp:effectExtent b="0" l="0" r="0" t="0"/>
                  <wp:docPr descr="Log novo EducaçãoJPEG" id="2" name="image1.jpg"/>
                  <a:graphic>
                    <a:graphicData uri="http://schemas.openxmlformats.org/drawingml/2006/picture">
                      <pic:pic>
                        <pic:nvPicPr>
                          <pic:cNvPr descr="Log novo EducaçãoJPE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72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40" w:lineRule="auto"/>
              <w:ind w:right="-10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Agrupamento de Escolas de Pedrógão Grande</w:t>
            </w:r>
          </w:p>
          <w:p w:rsidR="00000000" w:rsidDel="00000000" w:rsidP="00000000" w:rsidRDefault="00000000" w:rsidRPr="00000000" w14:paraId="00000005">
            <w:pPr>
              <w:spacing w:after="12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Escola Básica Miguel Leitão de Andrada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10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1447800" cy="723900"/>
                  <wp:effectExtent b="0" l="0" r="0" t="0"/>
                  <wp:docPr id="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ESTRATÉGIA DE EDUCAÇÃO PARA A CIDADANIA 2024/2025 – Balanço do 1.º período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Nível de ensino/ Ciclo: </w:t>
      </w:r>
      <w:r w:rsidDel="00000000" w:rsidR="00000000" w:rsidRPr="00000000">
        <w:rPr>
          <w:u w:val="single"/>
          <w:rtl w:val="0"/>
        </w:rPr>
        <w:t xml:space="preserve">3º </w:t>
      </w:r>
      <w:r w:rsidDel="00000000" w:rsidR="00000000" w:rsidRPr="00000000">
        <w:rPr>
          <w:rtl w:val="0"/>
        </w:rPr>
        <w:t xml:space="preserve">     Ano: 8</w:t>
      </w:r>
      <w:r w:rsidDel="00000000" w:rsidR="00000000" w:rsidRPr="00000000">
        <w:rPr>
          <w:u w:val="single"/>
          <w:rtl w:val="0"/>
        </w:rPr>
        <w:t xml:space="preserve">.º</w:t>
      </w:r>
      <w:r w:rsidDel="00000000" w:rsidR="00000000" w:rsidRPr="00000000">
        <w:rPr>
          <w:rtl w:val="0"/>
        </w:rPr>
        <w:t xml:space="preserve">    Turma: </w:t>
      </w:r>
      <w:r w:rsidDel="00000000" w:rsidR="00000000" w:rsidRPr="00000000">
        <w:rPr>
          <w:u w:val="single"/>
          <w:rtl w:val="0"/>
        </w:rPr>
        <w:t xml:space="preserve">A</w:t>
      </w:r>
    </w:p>
    <w:tbl>
      <w:tblPr>
        <w:tblStyle w:val="Table2"/>
        <w:tblW w:w="145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4"/>
        <w:gridCol w:w="2348"/>
        <w:gridCol w:w="2045"/>
        <w:gridCol w:w="1467"/>
        <w:gridCol w:w="2783"/>
        <w:gridCol w:w="1976"/>
        <w:gridCol w:w="1598"/>
        <w:tblGridChange w:id="0">
          <w:tblGrid>
            <w:gridCol w:w="2374"/>
            <w:gridCol w:w="2348"/>
            <w:gridCol w:w="2045"/>
            <w:gridCol w:w="1467"/>
            <w:gridCol w:w="2783"/>
            <w:gridCol w:w="1976"/>
            <w:gridCol w:w="1598"/>
          </w:tblGrid>
        </w:tblGridChange>
      </w:tblGrid>
      <w:tr>
        <w:trPr>
          <w:cantSplit w:val="0"/>
          <w:trHeight w:val="7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Domínios abordados/ em abordagem 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Identificação do(s) objetivo(s)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Atividades/ projetos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Disciplina(s)/ Área(s) envolvida(s)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Aprendizagens essenciais alcançadas/ a desenvolver 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Outros intervenientes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(BE, SPO, parceiros locais, 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Calendarização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Risco/Cibersegurança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Induzir nos alunos uma política de utilização esclarecida, crítica e segura das tecnologias em geral e da Internet em particular.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Desenvolvimento do 1.º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Cibersegurança assente nas vulnerabilidades.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Que medidas devemos tomar se formos vítimas de uma burla quando efetuamos compras online;</w:t>
            </w:r>
          </w:p>
          <w:p w:rsidR="00000000" w:rsidDel="00000000" w:rsidP="00000000" w:rsidRDefault="00000000" w:rsidRPr="00000000" w14:paraId="00000015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 importância da utilização das VPN;</w:t>
            </w:r>
          </w:p>
          <w:p w:rsidR="00000000" w:rsidDel="00000000" w:rsidP="00000000" w:rsidRDefault="00000000" w:rsidRPr="00000000" w14:paraId="00000016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Regras para a utilização segura da Internet</w:t>
            </w:r>
          </w:p>
          <w:p w:rsidR="00000000" w:rsidDel="00000000" w:rsidP="00000000" w:rsidRDefault="00000000" w:rsidRPr="00000000" w14:paraId="00000017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Como combater o phishing, smishing e vishing;</w:t>
            </w:r>
          </w:p>
          <w:p w:rsidR="00000000" w:rsidDel="00000000" w:rsidP="00000000" w:rsidRDefault="00000000" w:rsidRPr="00000000" w14:paraId="00000018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Cifrar dados ou criar pastas de acesso restrito em ficheiros que contenham informação sensível e dados pessoais.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Risco/Segurança/Saúde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proceder perante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comentários desagradáveis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nas redes sociais.</w:t>
            </w:r>
          </w:p>
          <w:p w:rsidR="00000000" w:rsidDel="00000000" w:rsidP="00000000" w:rsidRDefault="00000000" w:rsidRPr="00000000" w14:paraId="0000001D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respeitar os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códigos de conduta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que não se devem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fotografar sessões síncronas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sem o consentimento de todos os participantes.</w:t>
            </w:r>
          </w:p>
          <w:p w:rsidR="00000000" w:rsidDel="00000000" w:rsidP="00000000" w:rsidRDefault="00000000" w:rsidRPr="00000000" w14:paraId="0000001F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como proceder com 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marcação de encontros online com desconhecidos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Ter consciência dos perigos devido ao alheamento causado pelo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uso sistemático do telemóvel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os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perigos de não desligar os dados do telemóvel durante a noite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Desenvolvimento do 2.º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Não à Violência Online.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Colaboração.</w:t>
            </w:r>
          </w:p>
          <w:p w:rsidR="00000000" w:rsidDel="00000000" w:rsidP="00000000" w:rsidRDefault="00000000" w:rsidRPr="00000000" w14:paraId="00000025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Compreensão e expressão.</w:t>
            </w:r>
          </w:p>
          <w:p w:rsidR="00000000" w:rsidDel="00000000" w:rsidP="00000000" w:rsidRDefault="00000000" w:rsidRPr="00000000" w14:paraId="00000026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Literacia digital.</w:t>
            </w:r>
          </w:p>
          <w:p w:rsidR="00000000" w:rsidDel="00000000" w:rsidP="00000000" w:rsidRDefault="00000000" w:rsidRPr="00000000" w14:paraId="00000027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Participação.</w:t>
            </w:r>
          </w:p>
          <w:p w:rsidR="00000000" w:rsidDel="00000000" w:rsidP="00000000" w:rsidRDefault="00000000" w:rsidRPr="00000000" w14:paraId="00000028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Pensamento crítico.</w:t>
            </w:r>
          </w:p>
          <w:p w:rsidR="00000000" w:rsidDel="00000000" w:rsidP="00000000" w:rsidRDefault="00000000" w:rsidRPr="00000000" w14:paraId="00000029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Responsabilidade social.</w:t>
            </w:r>
          </w:p>
          <w:p w:rsidR="00000000" w:rsidDel="00000000" w:rsidP="00000000" w:rsidRDefault="00000000" w:rsidRPr="00000000" w14:paraId="0000002A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- Atuar perante comentários desagradáveis.</w:t>
            </w:r>
          </w:p>
          <w:p w:rsidR="00000000" w:rsidDel="00000000" w:rsidP="00000000" w:rsidRDefault="00000000" w:rsidRPr="00000000" w14:paraId="0000002B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Respeito pelos códigos de conduta.</w:t>
            </w:r>
          </w:p>
          <w:p w:rsidR="00000000" w:rsidDel="00000000" w:rsidP="00000000" w:rsidRDefault="00000000" w:rsidRPr="00000000" w14:paraId="0000002C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Autorização para fotografar sessões síncronas.</w:t>
            </w:r>
          </w:p>
          <w:p w:rsidR="00000000" w:rsidDel="00000000" w:rsidP="00000000" w:rsidRDefault="00000000" w:rsidRPr="00000000" w14:paraId="0000002D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Não marcar encontros online com desconhecidos.</w:t>
            </w:r>
          </w:p>
          <w:p w:rsidR="00000000" w:rsidDel="00000000" w:rsidP="00000000" w:rsidRDefault="00000000" w:rsidRPr="00000000" w14:paraId="0000002E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Não usar sistematicamente o telemóvel.</w:t>
            </w:r>
          </w:p>
          <w:p w:rsidR="00000000" w:rsidDel="00000000" w:rsidP="00000000" w:rsidRDefault="00000000" w:rsidRPr="00000000" w14:paraId="0000002F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Desligar os dados do telemóvel durante a noite.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240" w:line="276" w:lineRule="auto"/>
              <w:jc w:val="center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Igualdade de género/Saúde/sexualidade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Conhecer e explicar as diferenças a nível mundial no que se refere a vários indicadores sociodemográficos: TN, TM, TMI, ISF, EMV, etc.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Análise de mapas e gráficos sobre vários indicadores sociodemográficos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Comparar o comportamento de diferentes indicadores demográficos, no tempo e no espaço, enunciando fatores que explicam os comportamentos observados.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Literacia financeira/ Educação para o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after="0" w:afterAutospacing="0" w:before="240" w:line="240" w:lineRule="auto"/>
              <w:ind w:left="283.4645669291337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Caracterizar meios de pagamento.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spacing w:after="0" w:before="0" w:beforeAutospacing="0" w:line="240" w:lineRule="auto"/>
              <w:ind w:left="283.4645669291337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Compreender os encargos e os riscos associados aos diferentes meios de pagamento.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Sessão de esclarecimento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afterAutospacing="0" w:before="240" w:line="240" w:lineRule="auto"/>
              <w:ind w:left="425.1968503937013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Compreender as funções da moeda (meio de pagamento, unidade de valor e reserva de valor.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425.1968503937013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Enumerar diversas formas de efetuar pagamentos e os custos que lhe estão associados.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425.1968503937013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Conhecer o funcionamento do cartão de crédito.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before="0" w:beforeAutospacing="0" w:line="240" w:lineRule="auto"/>
              <w:ind w:left="425.1968503937013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Reconhecer os comportamentos adequados para o uso do cartão de crédito.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Banco de Portugal</w:t>
            </w:r>
          </w:p>
          <w:p w:rsidR="00000000" w:rsidDel="00000000" w:rsidP="00000000" w:rsidRDefault="00000000" w:rsidRPr="00000000" w14:paraId="0000004A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(agência de Coimbra)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Risco/Saúde/Desenvolvimento Sustentável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Tomada de consciência do uso controlado de materiais ácidos e básicos, de forma a não poluírem rios lagos e mares.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Investigar</w:t>
            </w:r>
          </w:p>
          <w:p w:rsidR="00000000" w:rsidDel="00000000" w:rsidP="00000000" w:rsidRDefault="00000000" w:rsidRPr="00000000" w14:paraId="0000004F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Prática de laboratório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Química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Conhecer as ações de matérias ácidos e básicos na natureza, na saúde e na poluição ambiental.</w:t>
            </w:r>
          </w:p>
          <w:p w:rsidR="00000000" w:rsidDel="00000000" w:rsidP="00000000" w:rsidRDefault="00000000" w:rsidRPr="00000000" w14:paraId="00000052">
            <w:pPr>
              <w:spacing w:after="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Desenvolver sensibilidade para a importância da manutenção das florestas e meio ambiente.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1º período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0" w:before="240" w:line="276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SAÚDE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76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Tomada de consciência da importância dos cuidados a ter com as cordas vocais – a voz.</w:t>
            </w:r>
          </w:p>
          <w:p w:rsidR="00000000" w:rsidDel="00000000" w:rsidP="00000000" w:rsidRDefault="00000000" w:rsidRPr="00000000" w14:paraId="0000005E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Desenvolvimento de uma postura corporal correta para cantar</w:t>
            </w:r>
          </w:p>
          <w:p w:rsidR="00000000" w:rsidDel="00000000" w:rsidP="00000000" w:rsidRDefault="00000000" w:rsidRPr="00000000" w14:paraId="0000005F">
            <w:pPr>
              <w:spacing w:after="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Interpretação de peças musicais corais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spacing w:after="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276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Cantar, a solo e em grupo, a uma e duas vozes, repertório variado com e sem acompanhamento instrumental, evidenciando confiança e domínio básico da técnica vocal.- Interpretar, através do movimento corporal, contextos musicais contrastantes.</w:t>
            </w:r>
          </w:p>
          <w:p w:rsidR="00000000" w:rsidDel="00000000" w:rsidP="00000000" w:rsidRDefault="00000000" w:rsidRPr="00000000" w14:paraId="0000006B">
            <w:pPr>
              <w:spacing w:after="240" w:before="240" w:line="276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Cria produtos artísticos diversificados (instalações sonoras,  concertos, teatros musicais, espetáculos multimédia...),  articulando a música com outras formas de arte e utilizando  diferentes formas de produção musical.</w:t>
            </w:r>
          </w:p>
          <w:p w:rsidR="00000000" w:rsidDel="00000000" w:rsidP="00000000" w:rsidRDefault="00000000" w:rsidRPr="00000000" w14:paraId="0000006C">
            <w:pPr>
              <w:spacing w:after="240" w:before="240" w:line="276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Apresentar publicamente atividades artísticas em que se  articula a música com outras áreas do conhecimento.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after="0" w:before="240" w:line="276" w:lineRule="auto"/>
              <w:ind w:left="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after="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1ºPeríodo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Saúde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Incentivar hábitos saudáveis, como a prática regular de atividade física e uma alimentação equilibrada, para prevenir doenças e melhorar a qualidade de vida.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-Ensinar os indivíduos a tomar decisões informadas sobre sua saúde, compreendendo os impactos das escolhas pessoais no bem-estar próprio e na comunidade.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Realização de Caminhada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Educação Física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Compreender os benefícios da atividade física e da alimentação saudável, além dos riscos associados ao sedentarismo e a hábitos não saudáveis.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Promover o respeito, a cooperação e a inclusão durante as práticas físicas, valorizando o espírito de equipa e a convivência saudável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144" w:before="144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144" w:before="144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24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before="240"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hd w:fill="d9d9d9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NOTAS: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d9d9d9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1</w:t>
      </w:r>
      <w:r w:rsidDel="00000000" w:rsidR="00000000" w:rsidRPr="00000000">
        <w:rPr>
          <w:i w:val="1"/>
          <w:sz w:val="18"/>
          <w:szCs w:val="18"/>
          <w:rtl w:val="0"/>
        </w:rPr>
        <w:t xml:space="preserve"> – 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Domínios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(n.º 2 do artigo 11.º da Portaria 223-A/2018)</w:t>
      </w:r>
      <w:r w:rsidDel="00000000" w:rsidR="00000000" w:rsidRPr="00000000">
        <w:rPr>
          <w:i w:val="1"/>
          <w:sz w:val="18"/>
          <w:szCs w:val="18"/>
          <w:rtl w:val="0"/>
        </w:rPr>
        <w:t xml:space="preserve">:</w:t>
      </w:r>
      <w:r w:rsidDel="00000000" w:rsidR="00000000" w:rsidRPr="00000000">
        <w:rPr>
          <w:sz w:val="18"/>
          <w:szCs w:val="18"/>
          <w:rtl w:val="0"/>
        </w:rPr>
        <w:t xml:space="preserve"> Direitos Humanos; Igualdade de Género; Interculturalidade; Desenvolvimento Sustentável; Educação Ambiental;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d9d9d9" w:val="clear"/>
        <w:spacing w:after="0"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Sexualidade; Media; Instituições e participação democrática; Literacia financeira e educação para o consumo; Risco; Segurança Rodoviária;</w:t>
      </w:r>
    </w:p>
    <w:p w:rsidR="00000000" w:rsidDel="00000000" w:rsidP="00000000" w:rsidRDefault="00000000" w:rsidRPr="00000000" w14:paraId="000000BC">
      <w:pPr>
        <w:shd w:fill="d9d9d9" w:val="clear"/>
        <w:spacing w:after="0" w:line="276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                               Empreendedorismo; Mundo do trabalho; Segurança, defesa e paz; Bem-estar animal; Voluntariado. Outros.</w:t>
      </w:r>
    </w:p>
    <w:p w:rsidR="00000000" w:rsidDel="00000000" w:rsidP="00000000" w:rsidRDefault="00000000" w:rsidRPr="00000000" w14:paraId="000000BD">
      <w:pPr>
        <w:shd w:fill="d9d9d9" w:val="clear"/>
        <w:spacing w:after="0" w:lineRule="auto"/>
        <w:rPr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2 </w:t>
      </w:r>
      <w:r w:rsidDel="00000000" w:rsidR="00000000" w:rsidRPr="00000000">
        <w:rPr>
          <w:i w:val="1"/>
          <w:sz w:val="18"/>
          <w:szCs w:val="18"/>
          <w:rtl w:val="0"/>
        </w:rPr>
        <w:t xml:space="preserve">– 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Objetivos</w:t>
      </w:r>
      <w:r w:rsidDel="00000000" w:rsidR="00000000" w:rsidRPr="00000000">
        <w:rPr>
          <w:i w:val="1"/>
          <w:sz w:val="18"/>
          <w:szCs w:val="18"/>
          <w:rtl w:val="0"/>
        </w:rPr>
        <w:t xml:space="preserve">:</w:t>
      </w:r>
      <w:r w:rsidDel="00000000" w:rsidR="00000000" w:rsidRPr="00000000">
        <w:rPr>
          <w:sz w:val="18"/>
          <w:szCs w:val="18"/>
          <w:rtl w:val="0"/>
        </w:rPr>
        <w:t xml:space="preserve"> são selecionados de entre os que constam dos referenciais de cada domínio, quando existam – disponíveis em </w:t>
      </w:r>
      <w:hyperlink r:id="rId8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https://cidadania.dge.mec.pt/documentos-referencia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BE">
      <w:pPr>
        <w:shd w:fill="d9d9d9" w:val="clear"/>
        <w:rPr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3</w:t>
      </w:r>
      <w:r w:rsidDel="00000000" w:rsidR="00000000" w:rsidRPr="00000000">
        <w:rPr>
          <w:i w:val="1"/>
          <w:sz w:val="18"/>
          <w:szCs w:val="18"/>
          <w:rtl w:val="0"/>
        </w:rPr>
        <w:t xml:space="preserve"> –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Aprendizagens essenciais</w:t>
      </w:r>
      <w:r w:rsidDel="00000000" w:rsidR="00000000" w:rsidRPr="00000000">
        <w:rPr>
          <w:sz w:val="18"/>
          <w:szCs w:val="18"/>
          <w:rtl w:val="0"/>
        </w:rPr>
        <w:t xml:space="preserve">: aquelas que estão definidas nas planificações das disciplinas; podem ser os “objetivos” ou as “metas de aprendizagem” (depende do nível de ensino/ano escolar).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Pedrógão Grande,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A Diretora de Turma: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1743393" cy="354235"/>
            <wp:effectExtent b="0" l="0" r="0" t="0"/>
            <wp:docPr descr="Uma imagem com escrita à mão, Tipo de letra, tipografia, caligrafia&#10;&#10;Descrição gerada automaticamente" id="3" name="image4.jpg"/>
            <a:graphic>
              <a:graphicData uri="http://schemas.openxmlformats.org/drawingml/2006/picture">
                <pic:pic>
                  <pic:nvPicPr>
                    <pic:cNvPr descr="Uma imagem com escrita à mão, Tipo de letra, tipografia, caligrafia&#10;&#10;Descrição gerada automaticamente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393" cy="354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1906" w:w="16838" w:orient="landscape"/>
      <w:pgMar w:bottom="709" w:top="1134" w:left="1417" w:right="820" w:header="130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0" distT="0" distL="0" distR="0">
          <wp:extent cx="8948095" cy="810175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48095" cy="810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7112000</wp:posOffset>
              </wp:positionV>
              <wp:extent cx="6172200" cy="27432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9900" y="3642825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GrpSpPr/>
                      <wpg:grpSpPr>
                        <a:xfrm>
                          <a:off x="2259900" y="3642840"/>
                          <a:ext cx="6172200" cy="274320"/>
                          <a:chOff x="2259900" y="3642825"/>
                          <a:chExt cx="6172200" cy="274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59900" y="3642825"/>
                            <a:ext cx="6172200" cy="27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59900" y="3642840"/>
                            <a:ext cx="6172200" cy="274320"/>
                            <a:chOff x="0" y="0"/>
                            <a:chExt cx="6172200" cy="27432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172200" cy="27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2860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9525"/>
                              <a:ext cx="5943600" cy="25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7112000</wp:posOffset>
              </wp:positionV>
              <wp:extent cx="6172200" cy="27432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74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hyperlink" Target="https://cidadania.dge.mec.pt/documentos-referenci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