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17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10"/>
        <w:gridCol w:w="7012"/>
        <w:gridCol w:w="3653"/>
        <w:tblGridChange w:id="0">
          <w:tblGrid>
            <w:gridCol w:w="3510"/>
            <w:gridCol w:w="7012"/>
            <w:gridCol w:w="36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2">
            <w:pPr>
              <w:spacing w:after="0" w:line="240" w:lineRule="auto"/>
              <w:ind w:left="-142" w:right="-108" w:firstLine="0"/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628775" cy="723900"/>
                  <wp:effectExtent b="0" l="0" r="0" t="0"/>
                  <wp:docPr descr="Log novo EducaçãoJPEG" id="407" name="image3.jpg"/>
                  <a:graphic>
                    <a:graphicData uri="http://schemas.openxmlformats.org/drawingml/2006/picture">
                      <pic:pic>
                        <pic:nvPicPr>
                          <pic:cNvPr descr="Log novo EducaçãoJPEG" id="0" name="image3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723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3">
            <w:pPr>
              <w:spacing w:after="0" w:line="240" w:lineRule="auto"/>
              <w:ind w:left="720" w:firstLine="0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120" w:before="120" w:line="240" w:lineRule="auto"/>
              <w:ind w:right="-108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Agrupamento de Escolas de Pedrógão Grande</w:t>
            </w:r>
          </w:p>
          <w:p w:rsidR="00000000" w:rsidDel="00000000" w:rsidP="00000000" w:rsidRDefault="00000000" w:rsidRPr="00000000" w14:paraId="00000005">
            <w:pPr>
              <w:spacing w:after="120" w:before="12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Escola Básica Miguel Leitão de Andrada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6">
            <w:pPr>
              <w:spacing w:after="0" w:line="240" w:lineRule="auto"/>
              <w:ind w:left="-108" w:firstLine="0"/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466850" cy="733425"/>
                  <wp:effectExtent b="0" l="0" r="0" t="0"/>
                  <wp:docPr descr="Cores_FundoBranco_semAssinatura_Leve" id="408" name="image2.jpg"/>
                  <a:graphic>
                    <a:graphicData uri="http://schemas.openxmlformats.org/drawingml/2006/picture">
                      <pic:pic>
                        <pic:nvPicPr>
                          <pic:cNvPr descr="Cores_FundoBranco_semAssinatura_Leve"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7334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ESTRATÉGIA DE EDUCAÇÃO PARA A CIDADANIA 2024/2025 – Balanço do 1º período</w:t>
      </w:r>
    </w:p>
    <w:p w:rsidR="00000000" w:rsidDel="00000000" w:rsidP="00000000" w:rsidRDefault="00000000" w:rsidRPr="00000000" w14:paraId="00000009">
      <w:pPr>
        <w:spacing w:after="120" w:before="24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Nível de ensino/Ciclo: 3º CEB</w:t>
        <w:tab/>
        <w:tab/>
        <w:t xml:space="preserve">Ano: 7 º</w:t>
        <w:tab/>
        <w:t xml:space="preserve">Turma: A</w:t>
      </w:r>
    </w:p>
    <w:tbl>
      <w:tblPr>
        <w:tblStyle w:val="Table2"/>
        <w:tblW w:w="1538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8"/>
        <w:gridCol w:w="2318"/>
        <w:gridCol w:w="2365"/>
        <w:gridCol w:w="2268"/>
        <w:gridCol w:w="2291"/>
        <w:gridCol w:w="2523"/>
        <w:gridCol w:w="1634"/>
        <w:tblGridChange w:id="0">
          <w:tblGrid>
            <w:gridCol w:w="1988"/>
            <w:gridCol w:w="2318"/>
            <w:gridCol w:w="2365"/>
            <w:gridCol w:w="2268"/>
            <w:gridCol w:w="2291"/>
            <w:gridCol w:w="2523"/>
            <w:gridCol w:w="1634"/>
          </w:tblGrid>
        </w:tblGridChange>
      </w:tblGrid>
      <w:tr>
        <w:trPr>
          <w:cantSplit w:val="0"/>
          <w:trHeight w:val="839" w:hRule="atLeast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after="0" w:before="12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Domínios abordados/ em abordagem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before="12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Identificação do(s) objetivo(s)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0" w:before="12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Atividades/projetos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before="12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Disciplina(s)/ Área(s) envolvida(s)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before="12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Aprendizagens essenciais alcançadas/ a desenvolver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before="12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Outros intervenientes (BE, SPO, PES, parceiros locais, …)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before="12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Calendarização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144" w:before="144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Direitos humanos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144" w:before="144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144" w:before="144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144" w:before="144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144" w:before="144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144" w:before="144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144" w:before="144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144" w:before="144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Igualdade de Género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144" w:before="144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144" w:before="144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144" w:before="144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144" w:before="144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144" w:before="144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144" w:before="144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144" w:before="144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Interculturalidade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144" w:before="144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Tomada de consciência da importância do conhecimento para o desenvolvimento pessoal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144" w:before="144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Investigar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144" w:before="144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FQ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Aumentar a capacidade de compreender o Universo.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Desenvolver a capacidade de manusear instrumentos como o dinamómetro e balança.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144" w:before="144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144" w:before="144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---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44" w:before="144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1.º Período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144" w:before="144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Desenvolvimento Sustentável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144" w:before="144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144" w:before="144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144" w:before="144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144" w:before="144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144" w:before="144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144" w:before="144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144" w:before="144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Educação Ambiental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144" w:before="144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144" w:before="144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144" w:before="144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144" w:before="144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144" w:before="144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144" w:before="144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144" w:before="144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Saúde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Incentivar hábitos saudáveis, como a prática regular de atividade física e uma alimentação equilibrada, para prevenir doenças e melhorar a qualidade de vida.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-Ensinar os indivíduos a tomar decisões informadas sobre sua saúde, compreendendo os impactos das escolhas pessoais no bem-estar próprio e na comunidade.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Realização de Caminhada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Educação Física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Compreender os benefícios da atividade física e da alimentação saudável, além dos riscos associados ao sedentarismo e a hábitos não saudáveis.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ind w:left="72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Promover o respeito, a cooperação e a inclusão durante as práticas físicas, valorizando o espírito de equipa e a convivência saudável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1ºPeríodo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2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3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4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5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6">
            <w:pPr>
              <w:spacing w:after="0" w:before="240" w:lineRule="auto"/>
              <w:ind w:left="10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SAÚDE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240" w:before="240" w:line="276" w:lineRule="auto"/>
              <w:ind w:left="100" w:firstLine="0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8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9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Tomada de consciência da importância dos cuidados a ter com as cordas vocais – a voz.</w:t>
            </w:r>
          </w:p>
          <w:p w:rsidR="00000000" w:rsidDel="00000000" w:rsidP="00000000" w:rsidRDefault="00000000" w:rsidRPr="00000000" w14:paraId="0000004A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Desenvolvimento de uma postura corporal correta para cantar</w:t>
            </w:r>
          </w:p>
          <w:p w:rsidR="00000000" w:rsidDel="00000000" w:rsidP="00000000" w:rsidRDefault="00000000" w:rsidRPr="00000000" w14:paraId="0000004B">
            <w:pPr>
              <w:spacing w:after="0" w:before="240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D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E">
            <w:pPr>
              <w:spacing w:after="0" w:before="240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Interpretação de peças musicais corais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0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1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2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3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4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5">
            <w:pPr>
              <w:spacing w:after="0" w:before="240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Música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240" w:before="240" w:line="276" w:lineRule="auto"/>
              <w:ind w:left="10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Cantar, a solo e em grupo, a uma e duas vozes, repertório variado com e sem acompanhamento instrumental, evidenciando confiança e domínio básico da técnica vocal.- Interpretar, através do movimento corporal, contextos musicais contrastantes.</w:t>
            </w:r>
          </w:p>
          <w:p w:rsidR="00000000" w:rsidDel="00000000" w:rsidP="00000000" w:rsidRDefault="00000000" w:rsidRPr="00000000" w14:paraId="00000057">
            <w:pPr>
              <w:spacing w:after="240" w:before="240" w:line="276" w:lineRule="auto"/>
              <w:ind w:left="10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Cria produtos artísticos diversificados (instalações sonoras,  concertos, teatros musicais, espetáculos multimédia...),  articulando a música com outras formas de arte e utilizando  diferentes formas de produção musical.</w:t>
            </w:r>
          </w:p>
          <w:p w:rsidR="00000000" w:rsidDel="00000000" w:rsidP="00000000" w:rsidRDefault="00000000" w:rsidRPr="00000000" w14:paraId="00000058">
            <w:pPr>
              <w:spacing w:after="240" w:before="240" w:line="276" w:lineRule="auto"/>
              <w:ind w:left="10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Apresentar publicamente atividades artísticas em que se  articula a música com outras áreas do conhecimento.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A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B">
            <w:pPr>
              <w:spacing w:after="0" w:before="240" w:lineRule="auto"/>
              <w:ind w:left="10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D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E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F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0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1">
            <w:pPr>
              <w:spacing w:after="0" w:before="240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1ºPeríodo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2">
            <w:pPr>
              <w:spacing w:after="144" w:before="144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Sexualidade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spacing w:after="144" w:before="144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spacing w:after="144" w:before="144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spacing w:after="144" w:before="144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spacing w:after="144" w:before="144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spacing w:after="144" w:before="144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spacing w:after="144" w:before="144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9">
            <w:pPr>
              <w:spacing w:after="144" w:before="144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Media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spacing w:after="144" w:before="144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Interpretar notícias veiculadas pelos media no que se refere à localização geográfica de fenómenos e eventos.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spacing w:after="144" w:before="144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Atlas individual</w:t>
            </w:r>
          </w:p>
          <w:p w:rsidR="00000000" w:rsidDel="00000000" w:rsidP="00000000" w:rsidRDefault="00000000" w:rsidRPr="00000000" w14:paraId="0000006C">
            <w:pPr>
              <w:spacing w:after="144" w:before="144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Construção de uma rosa dos ventos para concurso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spacing w:after="144" w:before="144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Geografia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spacing w:after="144" w:before="144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Selecionar as formas de representação da superfície terrestre, tendo em conta a heterogeneidade de situações e acontecimentos observáveis a partir de diferentes territórios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spacing w:after="144" w:before="144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spacing w:after="144" w:before="144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1º /2º Período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1">
            <w:pPr>
              <w:spacing w:after="144" w:before="144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Instituições e participação democrática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44" w:before="144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spacing w:after="144" w:before="144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spacing w:after="144" w:before="144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spacing w:after="144" w:before="144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spacing w:after="144" w:before="144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8">
            <w:pPr>
              <w:spacing w:after="144" w:before="144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Literacia financeira e educação para o consumo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numPr>
                <w:ilvl w:val="0"/>
                <w:numId w:val="3"/>
              </w:numPr>
              <w:spacing w:after="0" w:afterAutospacing="0" w:before="240" w:line="240" w:lineRule="auto"/>
              <w:ind w:left="283.46456692913375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Caracterizar meios de pagamento.</w:t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1"/>
              </w:numPr>
              <w:spacing w:after="0" w:before="0" w:beforeAutospacing="0" w:line="240" w:lineRule="auto"/>
              <w:ind w:left="283.46456692913375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Compreender os encargos e os riscos associados aos diferentes meios de pagamento.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Sessão de esclarecimento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Matemática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numPr>
                <w:ilvl w:val="0"/>
                <w:numId w:val="2"/>
              </w:numPr>
              <w:spacing w:after="0" w:afterAutospacing="0" w:before="240" w:line="240" w:lineRule="auto"/>
              <w:ind w:left="425.1968503937013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Compreender as funções da moeda (meio de pagamento, unidade de valor e reserva de valor.</w:t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425.1968503937013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Enumerar diversas formas de efetuar pagamentos e os custos que lhe estão associados.</w:t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425.1968503937013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Conhecer o funcionamento do cartão de crédito.</w:t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2"/>
              </w:numPr>
              <w:spacing w:after="0" w:before="0" w:beforeAutospacing="0" w:line="240" w:lineRule="auto"/>
              <w:ind w:left="425.1968503937013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Reconhecer os comportamentos adequados para o uso do cartão de crédito.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Banco de Portugal</w:t>
            </w:r>
          </w:p>
          <w:p w:rsidR="00000000" w:rsidDel="00000000" w:rsidP="00000000" w:rsidRDefault="00000000" w:rsidRPr="00000000" w14:paraId="00000082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(agência de Coimbra)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spacing w:after="144" w:before="144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1.º período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4">
            <w:pPr>
              <w:spacing w:after="144" w:before="144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Segurança Rodoviária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spacing w:after="144" w:before="144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spacing w:after="144" w:before="144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spacing w:after="144" w:before="144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spacing w:after="144" w:before="144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spacing w:after="144" w:before="144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spacing w:after="144" w:before="144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B">
            <w:pPr>
              <w:spacing w:after="144" w:before="144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Segurança, Defesa e Paz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spacing w:after="144" w:before="144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spacing w:after="144" w:before="144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spacing w:after="144" w:before="144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spacing w:after="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spacing w:after="144" w:before="144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spacing w:after="144" w:before="144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0" w:before="240" w:line="276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Risco/Segurança, defesa e paz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0" w:before="24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Ter noção dos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riscos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da navegação na Internet e saber adotar comportamentos capazes de os minimizar ou eliminar.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0" w:before="24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Noções prévias, desenvolvimento do kahoot “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Tecnologias de Informação – Mecanismos de Segurança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” e consolidação das aprendizagens à medida que o mesmo se foi desenvolvendo e quando concluído.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TIC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0" w:before="24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Colaboração.</w:t>
            </w:r>
          </w:p>
          <w:p w:rsidR="00000000" w:rsidDel="00000000" w:rsidP="00000000" w:rsidRDefault="00000000" w:rsidRPr="00000000" w14:paraId="00000097">
            <w:pPr>
              <w:spacing w:after="0" w:before="24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Compreensão e expressão.</w:t>
            </w:r>
          </w:p>
          <w:p w:rsidR="00000000" w:rsidDel="00000000" w:rsidP="00000000" w:rsidRDefault="00000000" w:rsidRPr="00000000" w14:paraId="00000098">
            <w:pPr>
              <w:spacing w:after="0" w:before="24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Literacia digital.</w:t>
            </w:r>
          </w:p>
          <w:p w:rsidR="00000000" w:rsidDel="00000000" w:rsidP="00000000" w:rsidRDefault="00000000" w:rsidRPr="00000000" w14:paraId="00000099">
            <w:pPr>
              <w:spacing w:after="0" w:before="24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Participação.</w:t>
            </w:r>
          </w:p>
          <w:p w:rsidR="00000000" w:rsidDel="00000000" w:rsidP="00000000" w:rsidRDefault="00000000" w:rsidRPr="00000000" w14:paraId="0000009A">
            <w:pPr>
              <w:spacing w:after="0" w:before="24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Pensamento crítico.</w:t>
            </w:r>
          </w:p>
          <w:p w:rsidR="00000000" w:rsidDel="00000000" w:rsidP="00000000" w:rsidRDefault="00000000" w:rsidRPr="00000000" w14:paraId="0000009B">
            <w:pPr>
              <w:spacing w:after="0" w:before="24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Responsabilidade social.</w:t>
            </w:r>
          </w:p>
          <w:p w:rsidR="00000000" w:rsidDel="00000000" w:rsidP="00000000" w:rsidRDefault="00000000" w:rsidRPr="00000000" w14:paraId="0000009C">
            <w:pPr>
              <w:spacing w:after="0" w:before="24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- Combate aos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riscos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da Internet com adoção de medidas seguras.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1.º Período letivo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after="0" w:before="240" w:line="276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Risco/Segurança/Saúde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after="0" w:before="24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Saber proceder perante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comentários desagradáveis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nas redes sociais.</w:t>
            </w:r>
          </w:p>
          <w:p w:rsidR="00000000" w:rsidDel="00000000" w:rsidP="00000000" w:rsidRDefault="00000000" w:rsidRPr="00000000" w14:paraId="000000A1">
            <w:pPr>
              <w:spacing w:after="0" w:before="24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Saber respeitar os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códigos de conduta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A2">
            <w:pPr>
              <w:spacing w:after="0" w:before="24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Saber que não se devem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fotografar sessões síncronas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sem o consentimento de todos os participantes.</w:t>
            </w:r>
          </w:p>
          <w:p w:rsidR="00000000" w:rsidDel="00000000" w:rsidP="00000000" w:rsidRDefault="00000000" w:rsidRPr="00000000" w14:paraId="000000A3">
            <w:pPr>
              <w:spacing w:after="0" w:before="24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Saber como proceder com 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marcação de encontros online com desconhecidos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A4">
            <w:pPr>
              <w:spacing w:after="0" w:before="24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Ter consciência dos perigos devido ao alheamento causado pelo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uso sistemático do telemóvel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A5">
            <w:pPr>
              <w:spacing w:after="0" w:before="24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Saber os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perigos de não desligar os dados do telemóvel durante a noite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after="0" w:before="240" w:line="276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Desenvolvimento do 2.º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Desafio Seguranet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sobre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Não à Violência Online.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TIC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after="0" w:before="24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Colaboração.</w:t>
            </w:r>
          </w:p>
          <w:p w:rsidR="00000000" w:rsidDel="00000000" w:rsidP="00000000" w:rsidRDefault="00000000" w:rsidRPr="00000000" w14:paraId="000000A9">
            <w:pPr>
              <w:spacing w:after="0" w:before="24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Compreensão e expressão.</w:t>
            </w:r>
          </w:p>
          <w:p w:rsidR="00000000" w:rsidDel="00000000" w:rsidP="00000000" w:rsidRDefault="00000000" w:rsidRPr="00000000" w14:paraId="000000AA">
            <w:pPr>
              <w:spacing w:after="0" w:before="24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Literacia digital.</w:t>
            </w:r>
          </w:p>
          <w:p w:rsidR="00000000" w:rsidDel="00000000" w:rsidP="00000000" w:rsidRDefault="00000000" w:rsidRPr="00000000" w14:paraId="000000AB">
            <w:pPr>
              <w:spacing w:after="0" w:before="24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Participação.</w:t>
            </w:r>
          </w:p>
          <w:p w:rsidR="00000000" w:rsidDel="00000000" w:rsidP="00000000" w:rsidRDefault="00000000" w:rsidRPr="00000000" w14:paraId="000000AC">
            <w:pPr>
              <w:spacing w:after="0" w:before="24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Pensamento crítico.</w:t>
            </w:r>
          </w:p>
          <w:p w:rsidR="00000000" w:rsidDel="00000000" w:rsidP="00000000" w:rsidRDefault="00000000" w:rsidRPr="00000000" w14:paraId="000000AD">
            <w:pPr>
              <w:spacing w:after="0" w:before="24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Responsabilidade social.</w:t>
            </w:r>
          </w:p>
          <w:p w:rsidR="00000000" w:rsidDel="00000000" w:rsidP="00000000" w:rsidRDefault="00000000" w:rsidRPr="00000000" w14:paraId="000000AE">
            <w:pPr>
              <w:spacing w:after="0" w:before="24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- Atuar perante comentários desagradáveis.</w:t>
            </w:r>
          </w:p>
          <w:p w:rsidR="00000000" w:rsidDel="00000000" w:rsidP="00000000" w:rsidRDefault="00000000" w:rsidRPr="00000000" w14:paraId="000000AF">
            <w:pPr>
              <w:spacing w:after="0" w:before="24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Respeito pelos códigos de conduta.</w:t>
            </w:r>
          </w:p>
          <w:p w:rsidR="00000000" w:rsidDel="00000000" w:rsidP="00000000" w:rsidRDefault="00000000" w:rsidRPr="00000000" w14:paraId="000000B0">
            <w:pPr>
              <w:spacing w:after="0" w:before="24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Autorização para fotografar sessões síncronas.</w:t>
            </w:r>
          </w:p>
          <w:p w:rsidR="00000000" w:rsidDel="00000000" w:rsidP="00000000" w:rsidRDefault="00000000" w:rsidRPr="00000000" w14:paraId="000000B1">
            <w:pPr>
              <w:spacing w:after="0" w:before="24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Não marcar encontros online com desconhecidos.</w:t>
            </w:r>
          </w:p>
          <w:p w:rsidR="00000000" w:rsidDel="00000000" w:rsidP="00000000" w:rsidRDefault="00000000" w:rsidRPr="00000000" w14:paraId="000000B2">
            <w:pPr>
              <w:spacing w:after="0" w:before="24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Não usar sistematicamente o telemóvel.</w:t>
            </w:r>
          </w:p>
          <w:p w:rsidR="00000000" w:rsidDel="00000000" w:rsidP="00000000" w:rsidRDefault="00000000" w:rsidRPr="00000000" w14:paraId="000000B3">
            <w:pPr>
              <w:spacing w:after="0" w:before="24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Desligar os dados do telemóvel durante a noite.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color w:val="4f81bd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f81bd"/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1.º Período letivo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after="0" w:before="240" w:line="276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Risco/Cibersegurança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after="0" w:before="24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Induzir nos alunos uma política de utilização esclarecida, crítica e segura das tecnologias em geral e da Internet em particular.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after="0" w:before="240" w:line="276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Desenvolvimento do 1.º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Desafio Seguranet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sobre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Cibersegurança assente nas vulnerabilidades.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TIC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after="0" w:before="24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Que medidas devemos tomar se formos vítimas de uma burla quando efetuamos compras online;</w:t>
            </w:r>
          </w:p>
          <w:p w:rsidR="00000000" w:rsidDel="00000000" w:rsidP="00000000" w:rsidRDefault="00000000" w:rsidRPr="00000000" w14:paraId="000000BB">
            <w:pPr>
              <w:spacing w:after="0" w:before="24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A importância da utilização das VPN;</w:t>
            </w:r>
          </w:p>
          <w:p w:rsidR="00000000" w:rsidDel="00000000" w:rsidP="00000000" w:rsidRDefault="00000000" w:rsidRPr="00000000" w14:paraId="000000BC">
            <w:pPr>
              <w:spacing w:after="0" w:before="24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Regras para a utilização segura da Internet</w:t>
            </w:r>
          </w:p>
          <w:p w:rsidR="00000000" w:rsidDel="00000000" w:rsidP="00000000" w:rsidRDefault="00000000" w:rsidRPr="00000000" w14:paraId="000000BD">
            <w:pPr>
              <w:spacing w:after="0" w:before="24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Como combater o phishing, smishing e vishing;</w:t>
            </w:r>
          </w:p>
          <w:p w:rsidR="00000000" w:rsidDel="00000000" w:rsidP="00000000" w:rsidRDefault="00000000" w:rsidRPr="00000000" w14:paraId="000000BE">
            <w:pPr>
              <w:spacing w:after="0" w:before="24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Cifrar dados ou criar pastas de acesso restrito em ficheiros que contenham informação sensível e dados pessoais.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color w:val="4f81bd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f81bd"/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1.º Período letivo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1">
            <w:pPr>
              <w:spacing w:after="144" w:before="144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Mundo do trabalho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spacing w:after="144" w:before="144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spacing w:after="144" w:before="144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spacing w:after="144" w:before="144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spacing w:after="144" w:before="144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spacing w:after="144" w:before="144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spacing w:after="144" w:before="144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8">
            <w:pPr>
              <w:spacing w:after="144" w:before="144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Empreendedorismo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spacing w:after="144" w:before="144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spacing w:after="144" w:before="144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spacing w:after="144" w:before="144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spacing w:after="144" w:before="144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spacing w:after="144" w:before="144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spacing w:after="144" w:before="144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F">
            <w:pPr>
              <w:spacing w:after="144" w:before="144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Bem-estar animal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spacing w:after="144" w:before="144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spacing w:after="144" w:before="144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spacing w:after="144" w:before="144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spacing w:after="144" w:before="144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spacing w:after="144" w:before="144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spacing w:after="144" w:before="144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6">
            <w:pPr>
              <w:spacing w:after="144" w:before="144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Voluntariado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spacing w:after="144" w:before="144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spacing w:after="144" w:before="144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spacing w:after="144" w:before="144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spacing w:after="144" w:before="144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spacing w:after="144" w:before="144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spacing w:after="144" w:before="144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alibri" w:cs="Calibri" w:eastAsia="Calibri" w:hAnsi="Calibri"/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8"/>
          <w:szCs w:val="18"/>
          <w:rtl w:val="0"/>
        </w:rPr>
        <w:t xml:space="preserve">NOTAS: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8"/>
          <w:szCs w:val="18"/>
          <w:rtl w:val="0"/>
        </w:rPr>
        <w:t xml:space="preserve">1 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– Domínios </w:t>
      </w: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(n.º 2 do artigo 11.º da Portaria 223-A/2018)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Direitos Humanos; Igualdade de Género; Interculturalidade; Desenvolvimento Sustentável; Educação Ambiental; Saúde. </w:t>
      </w:r>
    </w:p>
    <w:p w:rsidR="00000000" w:rsidDel="00000000" w:rsidP="00000000" w:rsidRDefault="00000000" w:rsidRPr="00000000" w14:paraId="000000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Sexualidade; Media; Instituições e participação democrática; Literacia financeira e educação para o consumo; Segurança Rodoviária; Risco;</w:t>
      </w:r>
    </w:p>
    <w:p w:rsidR="00000000" w:rsidDel="00000000" w:rsidP="00000000" w:rsidRDefault="00000000" w:rsidRPr="00000000" w14:paraId="000000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Empreendedorismo; Mundo do trabalho; Segurança, defesa e paz; Bem-estar animal; Voluntariado. </w:t>
      </w:r>
    </w:p>
    <w:p w:rsidR="00000000" w:rsidDel="00000000" w:rsidP="00000000" w:rsidRDefault="00000000" w:rsidRPr="00000000" w14:paraId="000000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120" w:line="24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8"/>
          <w:szCs w:val="18"/>
          <w:rtl w:val="0"/>
        </w:rPr>
        <w:t xml:space="preserve">2 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– Objetivos: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são selecionados de entre os que constam dos referenciais de cada domínio, quando existam – disponíveis em </w:t>
      </w:r>
      <w:r w:rsidDel="00000000" w:rsidR="00000000" w:rsidRPr="00000000">
        <w:rPr>
          <w:rFonts w:ascii="Calibri" w:cs="Calibri" w:eastAsia="Calibri" w:hAnsi="Calibri"/>
          <w:color w:val="0000ff"/>
          <w:sz w:val="18"/>
          <w:szCs w:val="18"/>
          <w:rtl w:val="0"/>
        </w:rPr>
        <w:t xml:space="preserve">https://cidadania.dge.mec.pt/documentos-referencia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. </w:t>
      </w:r>
    </w:p>
    <w:p w:rsidR="00000000" w:rsidDel="00000000" w:rsidP="00000000" w:rsidRDefault="00000000" w:rsidRPr="00000000" w14:paraId="000000E3">
      <w:pPr>
        <w:spacing w:after="0" w:before="120"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8"/>
          <w:szCs w:val="18"/>
          <w:rtl w:val="0"/>
        </w:rPr>
        <w:t xml:space="preserve">3 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– Aprendizagens essenciais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: aquelas que estão definidas nas planificações das disciplinas.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0" w:before="24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Pedrógão Grande, 19 de dezembro de 2025</w:t>
      </w:r>
    </w:p>
    <w:p w:rsidR="00000000" w:rsidDel="00000000" w:rsidP="00000000" w:rsidRDefault="00000000" w:rsidRPr="00000000" w14:paraId="000000E5">
      <w:pPr>
        <w:spacing w:after="0" w:before="24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O(A) Professor(a)/Diretor(a) de Turma: J. Ramos</w:t>
      </w:r>
    </w:p>
    <w:sectPr>
      <w:headerReference r:id="rId9" w:type="default"/>
      <w:headerReference r:id="rId10" w:type="first"/>
      <w:footerReference r:id="rId11" w:type="default"/>
      <w:pgSz w:h="11905" w:w="16837" w:orient="landscape"/>
      <w:pgMar w:bottom="720" w:top="720" w:left="720" w:right="720" w:header="340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  <w:font w:name="Andalu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before="240" w:line="240" w:lineRule="auto"/>
      <w:jc w:val="center"/>
      <w:rPr/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ESTRATÉGIA DE EDUCAÇÃO PARA A CIDADANIA 2024/2025 | BALANÇO DO 1º PERÍODO </w:t>
      <w:tab/>
    </w: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8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/>
    </w:pPr>
    <w:r w:rsidDel="00000000" w:rsidR="00000000" w:rsidRPr="00000000">
      <w:rPr>
        <w:rtl w:val="0"/>
      </w:rPr>
    </w:r>
  </w:p>
  <w:tbl>
    <w:tblPr>
      <w:tblStyle w:val="Table3"/>
      <w:tblW w:w="9888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2518"/>
      <w:gridCol w:w="4961"/>
      <w:gridCol w:w="2409"/>
      <w:tblGridChange w:id="0">
        <w:tblGrid>
          <w:gridCol w:w="2518"/>
          <w:gridCol w:w="4961"/>
          <w:gridCol w:w="2409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18" w:val="single"/>
            <w:left w:color="000000" w:space="0" w:sz="18" w:val="single"/>
            <w:bottom w:color="000000" w:space="0" w:sz="18" w:val="single"/>
            <w:right w:color="000000" w:space="0" w:sz="18" w:val="single"/>
          </w:tcBorders>
        </w:tcPr>
        <w:p w:rsidR="00000000" w:rsidDel="00000000" w:rsidP="00000000" w:rsidRDefault="00000000" w:rsidRPr="00000000" w14:paraId="000000EA">
          <w:pPr>
            <w:spacing w:after="0" w:line="240" w:lineRule="auto"/>
            <w:ind w:left="720" w:firstLine="0"/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11432</wp:posOffset>
                </wp:positionH>
                <wp:positionV relativeFrom="paragraph">
                  <wp:posOffset>128270</wp:posOffset>
                </wp:positionV>
                <wp:extent cx="1335405" cy="573405"/>
                <wp:effectExtent b="0" l="0" r="0" t="0"/>
                <wp:wrapSquare wrapText="bothSides" distB="0" distT="0" distL="114300" distR="114300"/>
                <wp:docPr id="40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5405" cy="5734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top w:color="000000" w:space="0" w:sz="18" w:val="single"/>
            <w:left w:color="000000" w:space="0" w:sz="18" w:val="single"/>
            <w:bottom w:color="000000" w:space="0" w:sz="18" w:val="single"/>
            <w:right w:color="000000" w:space="0" w:sz="18" w:val="single"/>
          </w:tcBorders>
        </w:tcPr>
        <w:p w:rsidR="00000000" w:rsidDel="00000000" w:rsidP="00000000" w:rsidRDefault="00000000" w:rsidRPr="00000000" w14:paraId="000000EB">
          <w:pPr>
            <w:spacing w:after="0" w:line="240" w:lineRule="auto"/>
            <w:ind w:left="720" w:firstLine="0"/>
            <w:rPr>
              <w:sz w:val="12"/>
              <w:szCs w:val="12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EC">
          <w:pPr>
            <w:spacing w:after="0" w:line="240" w:lineRule="auto"/>
            <w:ind w:left="-108" w:right="-108" w:firstLine="0"/>
            <w:jc w:val="center"/>
            <w:rPr>
              <w:sz w:val="22"/>
              <w:szCs w:val="22"/>
            </w:rPr>
          </w:pPr>
          <w:r w:rsidDel="00000000" w:rsidR="00000000" w:rsidRPr="00000000">
            <w:rPr>
              <w:sz w:val="22"/>
              <w:szCs w:val="22"/>
              <w:rtl w:val="0"/>
            </w:rPr>
            <w:t xml:space="preserve">Agrupamento de Escolas de Pedrógão Grande</w:t>
          </w:r>
        </w:p>
        <w:p w:rsidR="00000000" w:rsidDel="00000000" w:rsidP="00000000" w:rsidRDefault="00000000" w:rsidRPr="00000000" w14:paraId="000000ED">
          <w:pPr>
            <w:spacing w:after="0" w:line="240" w:lineRule="auto"/>
            <w:ind w:left="720" w:firstLine="0"/>
            <w:jc w:val="center"/>
            <w:rPr>
              <w:sz w:val="22"/>
              <w:szCs w:val="22"/>
            </w:rPr>
          </w:pPr>
          <w:r w:rsidDel="00000000" w:rsidR="00000000" w:rsidRPr="00000000">
            <w:rPr>
              <w:sz w:val="22"/>
              <w:szCs w:val="22"/>
              <w:rtl w:val="0"/>
            </w:rPr>
            <w:t xml:space="preserve">Escola Básica Miguel Leitão de Andrada</w:t>
          </w:r>
        </w:p>
        <w:p w:rsidR="00000000" w:rsidDel="00000000" w:rsidP="00000000" w:rsidRDefault="00000000" w:rsidRPr="00000000" w14:paraId="000000EE">
          <w:pPr>
            <w:spacing w:after="0" w:line="240" w:lineRule="auto"/>
            <w:ind w:left="720" w:firstLine="0"/>
            <w:jc w:val="center"/>
            <w:rPr>
              <w:sz w:val="22"/>
              <w:szCs w:val="22"/>
            </w:rPr>
          </w:pPr>
          <w:r w:rsidDel="00000000" w:rsidR="00000000" w:rsidRPr="00000000">
            <w:rPr>
              <w:sz w:val="22"/>
              <w:szCs w:val="22"/>
              <w:rtl w:val="0"/>
            </w:rPr>
            <w:t xml:space="preserve">Tel: 236 486 267</w:t>
          </w:r>
        </w:p>
        <w:p w:rsidR="00000000" w:rsidDel="00000000" w:rsidP="00000000" w:rsidRDefault="00000000" w:rsidRPr="00000000" w14:paraId="000000EF">
          <w:pPr>
            <w:spacing w:after="0" w:line="240" w:lineRule="auto"/>
            <w:ind w:left="360" w:firstLine="0"/>
            <w:jc w:val="center"/>
            <w:rPr/>
          </w:pPr>
          <w:r w:rsidDel="00000000" w:rsidR="00000000" w:rsidRPr="00000000">
            <w:rPr>
              <w:sz w:val="22"/>
              <w:szCs w:val="22"/>
              <w:rtl w:val="0"/>
            </w:rPr>
            <w:t xml:space="preserve">Mail: geral</w:t>
          </w:r>
          <w:r w:rsidDel="00000000" w:rsidR="00000000" w:rsidRPr="00000000">
            <w:rPr>
              <w:rFonts w:ascii="Andalus" w:cs="Andalus" w:eastAsia="Andalus" w:hAnsi="Andalus"/>
              <w:sz w:val="22"/>
              <w:szCs w:val="22"/>
              <w:rtl w:val="0"/>
            </w:rPr>
            <w:t xml:space="preserve">@</w:t>
          </w:r>
          <w:r w:rsidDel="00000000" w:rsidR="00000000" w:rsidRPr="00000000">
            <w:rPr>
              <w:sz w:val="22"/>
              <w:szCs w:val="22"/>
              <w:rtl w:val="0"/>
            </w:rPr>
            <w:t xml:space="preserve">agpedrogao.pt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18" w:val="single"/>
            <w:left w:color="000000" w:space="0" w:sz="18" w:val="single"/>
            <w:bottom w:color="000000" w:space="0" w:sz="18" w:val="single"/>
            <w:right w:color="000000" w:space="0" w:sz="18" w:val="single"/>
          </w:tcBorders>
        </w:tcPr>
        <w:p w:rsidR="00000000" w:rsidDel="00000000" w:rsidP="00000000" w:rsidRDefault="00000000" w:rsidRPr="00000000" w14:paraId="000000F0">
          <w:pPr>
            <w:spacing w:after="0" w:line="240" w:lineRule="auto"/>
            <w:ind w:left="720" w:firstLine="0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F1">
          <w:pPr>
            <w:spacing w:after="0" w:line="240" w:lineRule="auto"/>
            <w:ind w:left="-108" w:firstLine="0"/>
            <w:rPr/>
          </w:pPr>
          <w:r w:rsidDel="00000000" w:rsidR="00000000" w:rsidRPr="00000000">
            <w:rPr/>
            <w:drawing>
              <wp:inline distB="0" distT="0" distL="0" distR="0">
                <wp:extent cx="1466850" cy="733425"/>
                <wp:effectExtent b="0" l="0" r="0" t="0"/>
                <wp:docPr descr="Cores_FundoBranco_semAssinatura_Leve" id="409" name="image1.jpg"/>
                <a:graphic>
                  <a:graphicData uri="http://schemas.openxmlformats.org/drawingml/2006/picture">
                    <pic:pic>
                      <pic:nvPicPr>
                        <pic:cNvPr descr="Cores_FundoBranco_semAssinatura_Leve" id="0" name="image1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6850" cy="7334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F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Matrículas e Atualização processos dos alunos - 2018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P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03F9C"/>
    <w:rPr>
      <w:color w:val="000000"/>
      <w:kern w:val="36"/>
      <w:lang w:eastAsia="en-U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Tipodeletrapredefinidodopargraf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elacomGrelha">
    <w:name w:val="Table Grid"/>
    <w:basedOn w:val="Tabelanormal"/>
    <w:uiPriority w:val="59"/>
    <w:rsid w:val="00203F9C"/>
    <w:rPr>
      <w:bCs w:val="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ligao">
    <w:name w:val="Hyperlink"/>
    <w:uiPriority w:val="99"/>
    <w:unhideWhenUsed w:val="1"/>
    <w:rsid w:val="008E7162"/>
    <w:rPr>
      <w:color w:val="0000ff"/>
      <w:u w:val="single"/>
    </w:rPr>
  </w:style>
  <w:style w:type="paragraph" w:styleId="PargrafodaLista">
    <w:name w:val="List Paragraph"/>
    <w:basedOn w:val="Normal"/>
    <w:uiPriority w:val="34"/>
    <w:qFormat w:val="1"/>
    <w:rsid w:val="00E16227"/>
    <w:pPr>
      <w:ind w:left="720"/>
      <w:contextualSpacing w:val="1"/>
    </w:pPr>
    <w:rPr>
      <w:rFonts w:ascii="Calibri" w:cs="Times New Roman" w:hAnsi="Calibri"/>
      <w:color w:val="auto"/>
      <w:kern w:val="0"/>
      <w:sz w:val="22"/>
      <w:szCs w:val="22"/>
    </w:rPr>
  </w:style>
  <w:style w:type="paragraph" w:styleId="Cabealho">
    <w:name w:val="header"/>
    <w:basedOn w:val="Normal"/>
    <w:link w:val="CabealhoCarter"/>
    <w:uiPriority w:val="99"/>
    <w:unhideWhenUsed w:val="1"/>
    <w:rsid w:val="006353E1"/>
    <w:pPr>
      <w:tabs>
        <w:tab w:val="center" w:pos="4252"/>
        <w:tab w:val="right" w:pos="8504"/>
      </w:tabs>
    </w:pPr>
  </w:style>
  <w:style w:type="character" w:styleId="CabealhoCarter" w:customStyle="1">
    <w:name w:val="Cabeçalho Caráter"/>
    <w:link w:val="Cabealho"/>
    <w:uiPriority w:val="99"/>
    <w:rsid w:val="006353E1"/>
    <w:rPr>
      <w:color w:val="000000"/>
      <w:kern w:val="36"/>
      <w:sz w:val="24"/>
      <w:szCs w:val="24"/>
      <w:lang w:eastAsia="en-US"/>
    </w:rPr>
  </w:style>
  <w:style w:type="paragraph" w:styleId="Rodap">
    <w:name w:val="footer"/>
    <w:basedOn w:val="Normal"/>
    <w:link w:val="RodapCarter1"/>
    <w:uiPriority w:val="99"/>
    <w:unhideWhenUsed w:val="1"/>
    <w:rsid w:val="006353E1"/>
    <w:pPr>
      <w:tabs>
        <w:tab w:val="center" w:pos="4252"/>
        <w:tab w:val="right" w:pos="8504"/>
      </w:tabs>
    </w:pPr>
  </w:style>
  <w:style w:type="character" w:styleId="RodapCarter1" w:customStyle="1">
    <w:name w:val="Rodapé Caráter1"/>
    <w:link w:val="Rodap"/>
    <w:uiPriority w:val="99"/>
    <w:rsid w:val="006353E1"/>
    <w:rPr>
      <w:color w:val="000000"/>
      <w:kern w:val="36"/>
      <w:sz w:val="24"/>
      <w:szCs w:val="24"/>
      <w:lang w:eastAsia="en-US"/>
    </w:rPr>
  </w:style>
  <w:style w:type="paragraph" w:styleId="Textodebalo">
    <w:name w:val="Balloon Text"/>
    <w:basedOn w:val="Normal"/>
    <w:link w:val="TextodebaloCarter"/>
    <w:uiPriority w:val="99"/>
    <w:semiHidden w:val="1"/>
    <w:unhideWhenUsed w:val="1"/>
    <w:rsid w:val="006353E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arter" w:customStyle="1">
    <w:name w:val="Texto de balão Caráter"/>
    <w:link w:val="Textodebalo"/>
    <w:uiPriority w:val="99"/>
    <w:semiHidden w:val="1"/>
    <w:rsid w:val="006353E1"/>
    <w:rPr>
      <w:rFonts w:ascii="Tahoma" w:cs="Tahoma" w:hAnsi="Tahoma"/>
      <w:color w:val="000000"/>
      <w:kern w:val="36"/>
      <w:sz w:val="16"/>
      <w:szCs w:val="16"/>
      <w:lang w:eastAsia="en-US"/>
    </w:rPr>
  </w:style>
  <w:style w:type="paragraph" w:styleId="Default" w:customStyle="1">
    <w:name w:val="Default"/>
    <w:rsid w:val="00285AD8"/>
    <w:pPr>
      <w:autoSpaceDE w:val="0"/>
      <w:autoSpaceDN w:val="0"/>
      <w:adjustRightInd w:val="0"/>
    </w:pPr>
    <w:rPr>
      <w:rFonts w:ascii="Calibri" w:cs="Calibri" w:hAnsi="Calibri"/>
      <w:color w:val="000000"/>
    </w:rPr>
  </w:style>
  <w:style w:type="character" w:styleId="RodapCarter" w:customStyle="1">
    <w:name w:val="Rodapé Caráter"/>
    <w:basedOn w:val="Tipodeletrapredefinidodopargrafo"/>
    <w:uiPriority w:val="99"/>
    <w:rsid w:val="00E856B3"/>
  </w:style>
  <w:style w:type="paragraph" w:styleId="NormalWeb">
    <w:name w:val="Normal (Web)"/>
    <w:basedOn w:val="Normal"/>
    <w:uiPriority w:val="99"/>
    <w:semiHidden w:val="1"/>
    <w:unhideWhenUsed w:val="1"/>
    <w:rsid w:val="00D22C2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auto"/>
      <w:kern w:val="0"/>
      <w:lang w:eastAsia="pt-PT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k9wr+C8QMDKhBpDK7QhB62xS5w==">CgMxLjA4AHIhMWRUTHZ6OVFjZ1gyVE1NNjBzcW8ydE1RMVFqSWIybW5M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2024-12-19T09:29:00Z</dcterms:created>
  <dc:creator>Cristina</dc:creator>
</cp:coreProperties>
</file>