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611.0000000000002" w:tblpY="0"/>
        <w:tblW w:w="14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402" name="image3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66850" cy="733425"/>
                  <wp:effectExtent b="0" l="0" r="0" t="0"/>
                  <wp:docPr descr="Cores_FundoBranco_semAssinatura_Leve" id="403" name="image1.jpg"/>
                  <a:graphic>
                    <a:graphicData uri="http://schemas.openxmlformats.org/drawingml/2006/picture">
                      <pic:pic>
                        <pic:nvPicPr>
                          <pic:cNvPr descr="Cores_FundoBranco_semAssinatura_Leve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ESTRATÉGIA DE EDUCAÇÃO PARA A CIDADANIA 2024/2025 – Balanço do 1º período</w:t>
      </w:r>
    </w:p>
    <w:p w:rsidR="00000000" w:rsidDel="00000000" w:rsidP="00000000" w:rsidRDefault="00000000" w:rsidRPr="00000000" w14:paraId="00000009">
      <w:pPr>
        <w:spacing w:after="120"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Nível de ensino/Ciclo:2º Ciclo</w:t>
        <w:tab/>
        <w:tab/>
        <w:t xml:space="preserve">Ano: 6º</w:t>
        <w:tab/>
        <w:tab/>
        <w:t xml:space="preserve">Turma: A</w:t>
      </w:r>
    </w:p>
    <w:tbl>
      <w:tblPr>
        <w:tblStyle w:val="Table2"/>
        <w:tblW w:w="15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685"/>
        <w:gridCol w:w="2490"/>
        <w:gridCol w:w="1815"/>
        <w:gridCol w:w="2715"/>
        <w:gridCol w:w="2175"/>
        <w:gridCol w:w="1470"/>
        <w:tblGridChange w:id="0">
          <w:tblGrid>
            <w:gridCol w:w="2265"/>
            <w:gridCol w:w="2685"/>
            <w:gridCol w:w="2490"/>
            <w:gridCol w:w="1815"/>
            <w:gridCol w:w="2715"/>
            <w:gridCol w:w="2175"/>
            <w:gridCol w:w="1470"/>
          </w:tblGrid>
        </w:tblGridChange>
      </w:tblGrid>
      <w:tr>
        <w:trPr>
          <w:cantSplit w:val="0"/>
          <w:trHeight w:val="8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Atividades/projetos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Aprendizagens essenciais alcançadas/ a desenvolver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Outros intervenientes (BE, SPO, PES, parceiros locais,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Calendarização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Direitos Humanos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Interculturalidade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Literacia financeira e educação para o consumo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Aquisição e desenvolvimento de conhecimentos e capacidades para as decisões que, no presente e no futuro, tenham de tomar sobre as suas finanças pessoais, habilitando-os como consumidores.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Ação de literacia financeira “Gestão do Orçamento”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240" w:line="240" w:lineRule="auto"/>
              <w:ind w:lef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Distinguir necessidades e desejos.</w:t>
            </w:r>
          </w:p>
          <w:p w:rsidR="00000000" w:rsidDel="00000000" w:rsidP="00000000" w:rsidRDefault="00000000" w:rsidRPr="00000000" w14:paraId="00000024">
            <w:pPr>
              <w:spacing w:after="0" w:before="240" w:line="240" w:lineRule="auto"/>
              <w:ind w:lef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Distinguir despesas e rendimentos.</w:t>
            </w:r>
          </w:p>
          <w:p w:rsidR="00000000" w:rsidDel="00000000" w:rsidP="00000000" w:rsidRDefault="00000000" w:rsidRPr="00000000" w14:paraId="00000025">
            <w:pPr>
              <w:spacing w:after="0" w:before="240" w:line="240" w:lineRule="auto"/>
              <w:ind w:lef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Elaboração de um orçamento.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 P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Interculturalidade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Identificar a diversidade de crenças e valores em função de fatores históricos, geográficos e culturais.</w:t>
            </w:r>
          </w:p>
          <w:p w:rsidR="00000000" w:rsidDel="00000000" w:rsidP="00000000" w:rsidRDefault="00000000" w:rsidRPr="00000000" w14:paraId="0000002A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Reconhecer e aceitar a diversidade de situações, gostos e preferências entre os seus colegas.</w:t>
            </w:r>
          </w:p>
          <w:p w:rsidR="00000000" w:rsidDel="00000000" w:rsidP="00000000" w:rsidRDefault="00000000" w:rsidRPr="00000000" w14:paraId="0000002B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Saber respeitar o outro independentemente das suas caraterísticas físicas ou outras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Leitura de textos.</w:t>
            </w:r>
          </w:p>
          <w:p w:rsidR="00000000" w:rsidDel="00000000" w:rsidP="00000000" w:rsidRDefault="00000000" w:rsidRPr="00000000" w14:paraId="0000002D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Realização de trabalhos escritos e debate sobre o tema.</w:t>
            </w:r>
          </w:p>
          <w:p w:rsidR="00000000" w:rsidDel="00000000" w:rsidP="00000000" w:rsidRDefault="00000000" w:rsidRPr="00000000" w14:paraId="0000002E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Visionamento de vídeos.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Reconhecer elementos constitutivos da sua própria cultura e da(s) cultura(s) de língua estrangeira: diferentes aspetos de si próprio, identificar pessoas, lugares e aspetos que são importantes para si e para a sua cultura.</w:t>
            </w:r>
          </w:p>
          <w:p w:rsidR="00000000" w:rsidDel="00000000" w:rsidP="00000000" w:rsidRDefault="00000000" w:rsidRPr="00000000" w14:paraId="00000033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Identificar espaços de realidades culturais diferentes (a comunidade dos outros).</w:t>
            </w:r>
          </w:p>
          <w:p w:rsidR="00000000" w:rsidDel="00000000" w:rsidP="00000000" w:rsidRDefault="00000000" w:rsidRPr="00000000" w14:paraId="00000034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Localizar no mapa alguns países de expressão inglesa.</w:t>
            </w:r>
          </w:p>
          <w:p w:rsidR="00000000" w:rsidDel="00000000" w:rsidP="00000000" w:rsidRDefault="00000000" w:rsidRPr="00000000" w14:paraId="00000035">
            <w:pPr>
              <w:spacing w:after="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Associar capitais e algumas cidades desses países estudados.</w:t>
            </w:r>
          </w:p>
          <w:p w:rsidR="00000000" w:rsidDel="00000000" w:rsidP="00000000" w:rsidRDefault="00000000" w:rsidRPr="00000000" w14:paraId="00000036">
            <w:pPr>
              <w:spacing w:after="0" w:befor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Reconhecer aspetos culturais de países de expressão inglesa, tais como bandeiras e símbolos nacionais.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Ao longo do ano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Desenvolvimento Sustentável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Utilizar algoritmos.</w:t>
            </w:r>
          </w:p>
          <w:p w:rsidR="00000000" w:rsidDel="00000000" w:rsidP="00000000" w:rsidRDefault="00000000" w:rsidRPr="00000000" w14:paraId="0000003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3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Movimentar personagens através da utilização de um conjunto de comandos.</w:t>
            </w:r>
          </w:p>
          <w:p w:rsidR="00000000" w:rsidDel="00000000" w:rsidP="00000000" w:rsidRDefault="00000000" w:rsidRPr="00000000" w14:paraId="0000003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Mapear teclas para movimentar personagens.</w:t>
            </w:r>
          </w:p>
          <w:p w:rsidR="00000000" w:rsidDel="00000000" w:rsidP="00000000" w:rsidRDefault="00000000" w:rsidRPr="00000000" w14:paraId="0000004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4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Criar programas para completar figuras bidimensionais.</w:t>
            </w:r>
          </w:p>
          <w:p w:rsidR="00000000" w:rsidDel="00000000" w:rsidP="00000000" w:rsidRDefault="00000000" w:rsidRPr="00000000" w14:paraId="0000004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4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Criar programas para completar figuras bidimensionais.</w:t>
            </w:r>
          </w:p>
          <w:p w:rsidR="00000000" w:rsidDel="00000000" w:rsidP="00000000" w:rsidRDefault="00000000" w:rsidRPr="00000000" w14:paraId="0000004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Explicar o que são instruções em paralelo.</w:t>
            </w:r>
          </w:p>
          <w:p w:rsidR="00000000" w:rsidDel="00000000" w:rsidP="00000000" w:rsidRDefault="00000000" w:rsidRPr="00000000" w14:paraId="0000004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Utilizar algoritmos.</w:t>
            </w:r>
          </w:p>
          <w:p w:rsidR="00000000" w:rsidDel="00000000" w:rsidP="00000000" w:rsidRDefault="00000000" w:rsidRPr="00000000" w14:paraId="0000004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Ordenar, corretamente, um conjunto de instruções.</w:t>
            </w:r>
          </w:p>
          <w:p w:rsidR="00000000" w:rsidDel="00000000" w:rsidP="00000000" w:rsidRDefault="00000000" w:rsidRPr="00000000" w14:paraId="0000004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Movimentar personagens através da utilização de um conjunto de comandos.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Exploração dos Objetivos de Desenvolvimento Sustentável da Agenda 2030 da ONU, nomeadamente os objetivos 1, 2, 3, 4, 5, 6, 7, 9, 11, 12, 13, 14, 15, 16 e 17, proporcionada pelo desenvolvimento de 4 aulas da plataforma ubbu (da aula N.º20 à aula N.º24).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4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Coordenação olho-mão.</w:t>
            </w:r>
          </w:p>
          <w:p w:rsidR="00000000" w:rsidDel="00000000" w:rsidP="00000000" w:rsidRDefault="00000000" w:rsidRPr="00000000" w14:paraId="0000004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Criatividade.</w:t>
            </w:r>
          </w:p>
          <w:p w:rsidR="00000000" w:rsidDel="00000000" w:rsidP="00000000" w:rsidRDefault="00000000" w:rsidRPr="00000000" w14:paraId="0000004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5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5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5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Transformação da informação em conhecimento.</w:t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Resolução de problemas.</w:t>
            </w:r>
          </w:p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Capacidade percetivo-motora.</w:t>
            </w:r>
          </w:p>
          <w:p w:rsidR="00000000" w:rsidDel="00000000" w:rsidP="00000000" w:rsidRDefault="00000000" w:rsidRPr="00000000" w14:paraId="0000005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Ambiental.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Risco/Segurança/Saúde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5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Saber 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Não à Violência Online.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6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6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6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6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6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6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6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Desligar os dados do telemóvel durante a noite.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f81bd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Risco/Cibersegurança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7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7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7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7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1.º Período letivo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76" w:lineRule="auto"/>
              <w:ind w:left="10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08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084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Educação Musical  </w:t>
            </w:r>
          </w:p>
          <w:p w:rsidR="00000000" w:rsidDel="00000000" w:rsidP="00000000" w:rsidRDefault="00000000" w:rsidRPr="00000000" w14:paraId="0000008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08F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090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-Promover o bem-estar e a saúde individual e coletiva.</w:t>
            </w:r>
          </w:p>
          <w:p w:rsidR="00000000" w:rsidDel="00000000" w:rsidP="00000000" w:rsidRDefault="00000000" w:rsidRPr="00000000" w14:paraId="0000009C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-Promover o gosto pela prática regular de atividade física.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Aplicação da bateria de testes da Plataforma Fitescola®</w:t>
            </w:r>
          </w:p>
          <w:p w:rsidR="00000000" w:rsidDel="00000000" w:rsidP="00000000" w:rsidRDefault="00000000" w:rsidRPr="00000000" w14:paraId="0000009E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Desenvolvimento das A.E. da disciplina de EDF.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A0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Física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-Conhecer os processos fundamentais das adaptações morfológicas, funcionais e psicológicas, que lhe permite compreender os diversos fatores da aptidão física.</w:t>
            </w:r>
          </w:p>
          <w:p w:rsidR="00000000" w:rsidDel="00000000" w:rsidP="00000000" w:rsidRDefault="00000000" w:rsidRPr="00000000" w14:paraId="000000A2">
            <w:pPr>
              <w:spacing w:after="16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-Saúde (promoção da saúde, saúde pública, alimentação, exercício físico).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Ao longo do ano letivo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40" w:before="1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Segurança Rodoviária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Rule="auto"/>
              <w:jc w:val="center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-Identificar comportamentos adequados e inadequados e adotar comportamentos seguros, enquanto condutor;</w:t>
            </w:r>
          </w:p>
          <w:p w:rsidR="00000000" w:rsidDel="00000000" w:rsidP="00000000" w:rsidRDefault="00000000" w:rsidRPr="00000000" w14:paraId="000000A7">
            <w:pPr>
              <w:spacing w:after="0" w:before="0" w:lineRule="auto"/>
              <w:jc w:val="center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-Analisar criticamente o ambiente rodoviário e adotar atitudes e comportamentos sociais e cívicos adequados.</w:t>
            </w:r>
          </w:p>
          <w:p w:rsidR="00000000" w:rsidDel="00000000" w:rsidP="00000000" w:rsidRDefault="00000000" w:rsidRPr="00000000" w14:paraId="000000A8">
            <w:pPr>
              <w:spacing w:after="0" w:before="0" w:lineRule="auto"/>
              <w:jc w:val="center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-Identificar os sinais de trânsito luminosos, verticais e horizontais de maior interesse para o condutor.</w:t>
            </w:r>
          </w:p>
          <w:p w:rsidR="00000000" w:rsidDel="00000000" w:rsidP="00000000" w:rsidRDefault="00000000" w:rsidRPr="00000000" w14:paraId="000000A9">
            <w:pPr>
              <w:spacing w:after="0" w:before="0" w:lineRule="auto"/>
              <w:jc w:val="center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-Conhecer as regras de condução de bicicletas.</w:t>
            </w:r>
          </w:p>
          <w:p w:rsidR="00000000" w:rsidDel="00000000" w:rsidP="00000000" w:rsidRDefault="00000000" w:rsidRPr="00000000" w14:paraId="000000AA">
            <w:pPr>
              <w:spacing w:after="0" w:before="0" w:lineRule="auto"/>
              <w:jc w:val="center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-Compreender a importância da manutenção dos veículos.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40" w:before="1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-Treinos do grupo-equipa DE Sobre Rodas - Desporto Escolar;</w:t>
            </w:r>
          </w:p>
          <w:p w:rsidR="00000000" w:rsidDel="00000000" w:rsidP="00000000" w:rsidRDefault="00000000" w:rsidRPr="00000000" w14:paraId="000000AC">
            <w:pPr>
              <w:spacing w:after="140" w:before="1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-Passeios de bicicleta em ambiente rodoviário.</w:t>
            </w:r>
          </w:p>
          <w:p w:rsidR="00000000" w:rsidDel="00000000" w:rsidP="00000000" w:rsidRDefault="00000000" w:rsidRPr="00000000" w14:paraId="000000AD">
            <w:pPr>
              <w:spacing w:after="140" w:before="1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40" w:before="1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Educação Física / Clube de Desporto Escolar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-O aluno desenvolve e aprofunda o seu conhecimento sobre o ambiente rodoviário, estabelecendo com os outros e com o meio envolvente um sistema de interações, enquanto condutor. Na medida em que se autonomiza, assume a condução como um ato de responsabilidade individual e coletiva que aconselha uma atitude moderada e defensiva.</w:t>
            </w:r>
          </w:p>
          <w:p w:rsidR="00000000" w:rsidDel="00000000" w:rsidP="00000000" w:rsidRDefault="00000000" w:rsidRPr="00000000" w14:paraId="000000B0">
            <w:pPr>
              <w:spacing w:after="240" w:before="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-O aluno desenvolve e aprofunda o seu conhecimento sobre o ambiente rodoviário e assume-se como elemento integrante do sistema, aprendendo a conviver e a partilhar o espaço público com segurança, responsabilidade e respeito.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Ao longo do ano letivo</w:t>
            </w:r>
          </w:p>
          <w:p w:rsidR="00000000" w:rsidDel="00000000" w:rsidP="00000000" w:rsidRDefault="00000000" w:rsidRPr="00000000" w14:paraId="000000B3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·Compreender como as questões sociais, culturais e económicas influenciam os consumos alimentares  </w:t>
            </w:r>
          </w:p>
          <w:p w:rsidR="00000000" w:rsidDel="00000000" w:rsidP="00000000" w:rsidRDefault="00000000" w:rsidRPr="00000000" w14:paraId="000000B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·Identificar a Dieta Mediterrânica como exemplo das diferentes influências socioculturais sobre o consumo alimentar</w:t>
            </w:r>
          </w:p>
          <w:p w:rsidR="00000000" w:rsidDel="00000000" w:rsidP="00000000" w:rsidRDefault="00000000" w:rsidRPr="00000000" w14:paraId="000000B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·Reconhecer a alimentação como um dos principais determinantes da saúde</w:t>
            </w:r>
          </w:p>
          <w:p w:rsidR="00000000" w:rsidDel="00000000" w:rsidP="00000000" w:rsidRDefault="00000000" w:rsidRPr="00000000" w14:paraId="000000B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·Relacionar a alimentação com a prevenção e desenvolvimentos das principais doenças crónicas (diabetes, doença cardiovascular e oncológica)</w:t>
            </w:r>
          </w:p>
          <w:p w:rsidR="00000000" w:rsidDel="00000000" w:rsidP="00000000" w:rsidRDefault="00000000" w:rsidRPr="00000000" w14:paraId="000000B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·Reconhecer a Dieta Mediterrânica como exemplo de um padrão alimentar saudável</w:t>
            </w:r>
          </w:p>
          <w:p w:rsidR="00000000" w:rsidDel="00000000" w:rsidP="00000000" w:rsidRDefault="00000000" w:rsidRPr="00000000" w14:paraId="000000B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·Reconhecer que as escolhas alimentares são influenciadas por determinantes psicológicos e sensoriais, a nível individual e de grupo</w:t>
            </w:r>
          </w:p>
          <w:p w:rsidR="00000000" w:rsidDel="00000000" w:rsidP="00000000" w:rsidRDefault="00000000" w:rsidRPr="00000000" w14:paraId="000000B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·Analisar criticamente os comportamentos de risco na alimentação</w:t>
            </w:r>
          </w:p>
          <w:p w:rsidR="00000000" w:rsidDel="00000000" w:rsidP="00000000" w:rsidRDefault="00000000" w:rsidRPr="00000000" w14:paraId="000000B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·Reconhecer o impacto que os padrões alimentares têm sobre o ambiente  </w:t>
            </w:r>
          </w:p>
          <w:p w:rsidR="00000000" w:rsidDel="00000000" w:rsidP="00000000" w:rsidRDefault="00000000" w:rsidRPr="00000000" w14:paraId="000000B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·Adotar comportamentos adequados na aquisição, armazenamento, preparação e consumo de alimentos</w:t>
            </w:r>
          </w:p>
          <w:p w:rsidR="00000000" w:rsidDel="00000000" w:rsidP="00000000" w:rsidRDefault="00000000" w:rsidRPr="00000000" w14:paraId="000000BF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·Reconhecer a escola como um espaço próprio para a promoção da alimentação saudável e adoção de comportamentos alimentares equilibrados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24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Visionamento de filmes sobre os objetivos e AE</w:t>
            </w:r>
          </w:p>
          <w:p w:rsidR="00000000" w:rsidDel="00000000" w:rsidP="00000000" w:rsidRDefault="00000000" w:rsidRPr="00000000" w14:paraId="000000C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Debates sobre os assuntos (ex. roda dos alimentos e dieta mediterrânica, alimentação saudável e equilibrada, normas em vigor nas cantinas e bufetes)</w:t>
            </w:r>
          </w:p>
          <w:p w:rsidR="00000000" w:rsidDel="00000000" w:rsidP="00000000" w:rsidRDefault="00000000" w:rsidRPr="00000000" w14:paraId="000000C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Aulas práticas PASS</w:t>
            </w:r>
          </w:p>
          <w:p w:rsidR="00000000" w:rsidDel="00000000" w:rsidP="00000000" w:rsidRDefault="00000000" w:rsidRPr="00000000" w14:paraId="000000C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Visita ao mercado municipal de Pedrógão</w:t>
            </w:r>
          </w:p>
          <w:p w:rsidR="00000000" w:rsidDel="00000000" w:rsidP="00000000" w:rsidRDefault="00000000" w:rsidRPr="00000000" w14:paraId="000000C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Aplicação do Revelador da Placa Bacteriana</w:t>
            </w:r>
          </w:p>
          <w:p w:rsidR="00000000" w:rsidDel="00000000" w:rsidP="00000000" w:rsidRDefault="00000000" w:rsidRPr="00000000" w14:paraId="000000C8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Elaboração de ementas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CIÊNCIAS</w:t>
            </w:r>
          </w:p>
          <w:p w:rsidR="00000000" w:rsidDel="00000000" w:rsidP="00000000" w:rsidRDefault="00000000" w:rsidRPr="00000000" w14:paraId="000000CD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NATURAIS</w:t>
            </w:r>
          </w:p>
          <w:p w:rsidR="00000000" w:rsidDel="00000000" w:rsidP="00000000" w:rsidRDefault="00000000" w:rsidRPr="00000000" w14:paraId="000000CE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CIÊNCIAS</w:t>
            </w:r>
          </w:p>
          <w:p w:rsidR="00000000" w:rsidDel="00000000" w:rsidP="00000000" w:rsidRDefault="00000000" w:rsidRPr="00000000" w14:paraId="000000DB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NATURAIS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Relacionar a existência dos nutrientes com a função que desempenham no corpo humano, partindo da análise de documentos diversificados e valorizando a interdisciplinaridade;</w:t>
            </w:r>
          </w:p>
          <w:p w:rsidR="00000000" w:rsidDel="00000000" w:rsidP="00000000" w:rsidRDefault="00000000" w:rsidRPr="00000000" w14:paraId="000000D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Elaborar algumas ementas equilibradas e discutir os riscos e os benefícios dos alimentos para a saúde humana;</w:t>
            </w:r>
          </w:p>
          <w:p w:rsidR="00000000" w:rsidDel="00000000" w:rsidP="00000000" w:rsidRDefault="00000000" w:rsidRPr="00000000" w14:paraId="000000DF">
            <w:pPr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Relacionar os órgãos do sistema digestivo com as transformações químicas e mecânicas dos alimentos que neles ocorrem.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PES e</w:t>
            </w:r>
          </w:p>
          <w:p w:rsidR="00000000" w:rsidDel="00000000" w:rsidP="00000000" w:rsidRDefault="00000000" w:rsidRPr="00000000" w14:paraId="000000E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UCC</w:t>
            </w:r>
          </w:p>
          <w:p w:rsidR="00000000" w:rsidDel="00000000" w:rsidP="00000000" w:rsidRDefault="00000000" w:rsidRPr="00000000" w14:paraId="000000E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(centro de saúde)</w:t>
            </w:r>
          </w:p>
          <w:p w:rsidR="00000000" w:rsidDel="00000000" w:rsidP="00000000" w:rsidRDefault="00000000" w:rsidRPr="00000000" w14:paraId="000000E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color w:val="1f1f1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8"/>
                <w:szCs w:val="28"/>
                <w:highlight w:val="white"/>
                <w:rtl w:val="0"/>
              </w:rPr>
              <w:t xml:space="preserve">Projeto</w:t>
            </w:r>
          </w:p>
          <w:p w:rsidR="00000000" w:rsidDel="00000000" w:rsidP="00000000" w:rsidRDefault="00000000" w:rsidRPr="00000000" w14:paraId="000000E6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28"/>
                <w:szCs w:val="28"/>
                <w:highlight w:val="white"/>
                <w:rtl w:val="0"/>
              </w:rPr>
              <w:t xml:space="preserve">PASS da Região de Leiria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Desenvolvimento</w:t>
            </w:r>
          </w:p>
          <w:p w:rsidR="00000000" w:rsidDel="00000000" w:rsidP="00000000" w:rsidRDefault="00000000" w:rsidRPr="00000000" w14:paraId="000000EA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Sustentável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 Conhecer o ciclo de vida de diferentes bens de consumo</w:t>
            </w:r>
          </w:p>
          <w:p w:rsidR="00000000" w:rsidDel="00000000" w:rsidP="00000000" w:rsidRDefault="00000000" w:rsidRPr="00000000" w14:paraId="000000EC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 Incorporar práticas de consumo responsável</w:t>
            </w:r>
          </w:p>
          <w:p w:rsidR="00000000" w:rsidDel="00000000" w:rsidP="00000000" w:rsidRDefault="00000000" w:rsidRPr="00000000" w14:paraId="000000ED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 Reconhecer práticas de consumo responsável que visem a redução, a reutilização e a reciclagem de resíduos</w:t>
            </w:r>
          </w:p>
          <w:p w:rsidR="00000000" w:rsidDel="00000000" w:rsidP="00000000" w:rsidRDefault="00000000" w:rsidRPr="00000000" w14:paraId="000000E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· Compreender a importância da informação existente nos rótulos dos bens e serviços para a decisão de um consumo responsável</w:t>
            </w:r>
          </w:p>
          <w:p w:rsidR="00000000" w:rsidDel="00000000" w:rsidP="00000000" w:rsidRDefault="00000000" w:rsidRPr="00000000" w14:paraId="000000E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· Conhecer tipos de informação existente na rotulagem de diferentes produtos</w:t>
            </w:r>
          </w:p>
          <w:p w:rsidR="00000000" w:rsidDel="00000000" w:rsidP="00000000" w:rsidRDefault="00000000" w:rsidRPr="00000000" w14:paraId="000000F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· Reconhecer a importância das informações contidas nos rótulos.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Visionamento de filmes sobre os objetivos e AE</w:t>
            </w:r>
          </w:p>
          <w:p w:rsidR="00000000" w:rsidDel="00000000" w:rsidP="00000000" w:rsidRDefault="00000000" w:rsidRPr="00000000" w14:paraId="000000F3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Debates sobre os assuntos</w:t>
            </w:r>
          </w:p>
          <w:p w:rsidR="00000000" w:rsidDel="00000000" w:rsidP="00000000" w:rsidRDefault="00000000" w:rsidRPr="00000000" w14:paraId="000000F5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Análise de rótulos de produtos alimentares</w:t>
            </w:r>
          </w:p>
          <w:p w:rsidR="00000000" w:rsidDel="00000000" w:rsidP="00000000" w:rsidRDefault="00000000" w:rsidRPr="00000000" w14:paraId="000000F7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CIÊNCIAS</w:t>
            </w:r>
          </w:p>
          <w:p w:rsidR="00000000" w:rsidDel="00000000" w:rsidP="00000000" w:rsidRDefault="00000000" w:rsidRPr="00000000" w14:paraId="000000FB">
            <w:pPr>
              <w:spacing w:after="16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NATURAIS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Interpretar informação contida em rótulos de alimentos familiares aos alunos;</w:t>
            </w:r>
          </w:p>
          <w:p w:rsidR="00000000" w:rsidDel="00000000" w:rsidP="00000000" w:rsidRDefault="00000000" w:rsidRPr="00000000" w14:paraId="000000FF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Identificar riscos e benefícios dos aditivos alimentares;</w:t>
            </w:r>
          </w:p>
          <w:p w:rsidR="00000000" w:rsidDel="00000000" w:rsidP="00000000" w:rsidRDefault="00000000" w:rsidRPr="00000000" w14:paraId="00000101">
            <w:pPr>
              <w:spacing w:after="0" w:before="24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Discutir a importância da ciência e da tecnologia na evolução dos produtos alimentares, articulando com saberes de outras disciplinas.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16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1.º Período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Domínios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(n.º 2 do artigo 11.º da Portaria 223-A/2018)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Direitos Humanos; Igualdade de Género; Interculturalidade; Desenvolvimento Sustentável; Educação Ambiental; Saúde.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Sexualidade; Media; Instituições e participação democrática; Literacia financeira e educação para o consumo; Segurança Rodoviária; Risco;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Empreendedorismo; Mundo do trabalho; Segurança, defesa e paz; Bem-estar animal; Voluntariado.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Objetivos: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são selecionados de entre os que constam dos referenciais de cada domínio, quando existam – disponíveis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https://cidadania.dge.mec.pt/documentos-referencia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D">
      <w:pPr>
        <w:spacing w:after="0" w:before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Aprendizagens essenciais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aquelas que estão definidas nas planificações das disciplinas.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Pedrógão Grande, 18 de dezembro de 2024</w:t>
      </w:r>
    </w:p>
    <w:p w:rsidR="00000000" w:rsidDel="00000000" w:rsidP="00000000" w:rsidRDefault="00000000" w:rsidRPr="00000000" w14:paraId="0000010F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Professor(a)/Diretor(a) de Turma: Odete Bernardino</w:t>
      </w:r>
    </w:p>
    <w:sectPr>
      <w:headerReference r:id="rId9" w:type="default"/>
      <w:headerReference r:id="rId10" w:type="first"/>
      <w:footerReference r:id="rId11" w:type="default"/>
      <w:pgSz w:h="11905" w:w="16837" w:orient="landscape"/>
      <w:pgMar w:bottom="720" w:top="720" w:left="720" w:right="720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ESTRATÉGIA DE EDUCAÇÃO PARA A CIDADANIA 2024/2025 | BALANÇO DO 1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.º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PERÍODO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88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18"/>
      <w:gridCol w:w="4961"/>
      <w:gridCol w:w="2409"/>
      <w:tblGridChange w:id="0">
        <w:tblGrid>
          <w:gridCol w:w="2518"/>
          <w:gridCol w:w="4961"/>
          <w:gridCol w:w="24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14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b="0" l="0" r="0" t="0"/>
                <wp:wrapSquare wrapText="bothSides" distB="0" distT="0" distL="114300" distR="114300"/>
                <wp:docPr id="40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15">
          <w:pPr>
            <w:spacing w:after="0" w:line="240" w:lineRule="auto"/>
            <w:ind w:left="720" w:firstLine="0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spacing w:after="0" w:line="240" w:lineRule="auto"/>
            <w:ind w:left="-108" w:right="-108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Agrupamento de Escolas de Pedrógão Grande</w:t>
          </w:r>
        </w:p>
        <w:p w:rsidR="00000000" w:rsidDel="00000000" w:rsidP="00000000" w:rsidRDefault="00000000" w:rsidRPr="00000000" w14:paraId="00000117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Escola Básica Miguel Leitão de Andrada</w:t>
          </w:r>
        </w:p>
        <w:p w:rsidR="00000000" w:rsidDel="00000000" w:rsidP="00000000" w:rsidRDefault="00000000" w:rsidRPr="00000000" w14:paraId="00000118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Tel: 236 486 267</w:t>
          </w:r>
        </w:p>
        <w:p w:rsidR="00000000" w:rsidDel="00000000" w:rsidP="00000000" w:rsidRDefault="00000000" w:rsidRPr="00000000" w14:paraId="00000119">
          <w:pPr>
            <w:spacing w:after="0" w:line="240" w:lineRule="auto"/>
            <w:ind w:left="360" w:firstLine="0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Mail: geral</w:t>
          </w:r>
          <w:r w:rsidDel="00000000" w:rsidR="00000000" w:rsidRPr="00000000">
            <w:rPr>
              <w:rFonts w:ascii="Andalus" w:cs="Andalus" w:eastAsia="Andalus" w:hAnsi="Andalus"/>
              <w:sz w:val="22"/>
              <w:szCs w:val="22"/>
              <w:rtl w:val="0"/>
            </w:rPr>
            <w:t xml:space="preserve">@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agpedrogao.pt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1A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B">
          <w:pPr>
            <w:spacing w:after="0" w:line="240" w:lineRule="auto"/>
            <w:ind w:left="-108" w:firstLine="0"/>
            <w:rPr/>
          </w:pPr>
          <w:r w:rsidDel="00000000" w:rsidR="00000000" w:rsidRPr="00000000">
            <w:rPr/>
            <w:drawing>
              <wp:inline distB="0" distT="0" distL="0" distR="0">
                <wp:extent cx="1466850" cy="733425"/>
                <wp:effectExtent b="0" l="0" r="0" t="0"/>
                <wp:docPr descr="Cores_FundoBranco_semAssinatura_Leve" id="404" name="image4.jpg"/>
                <a:graphic>
                  <a:graphicData uri="http://schemas.openxmlformats.org/drawingml/2006/picture">
                    <pic:pic>
                      <pic:nvPicPr>
                        <pic:cNvPr descr="Cores_FundoBranco_semAssinatura_Leve"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Matrículas e Atualização processos dos alunos - 2018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F9C"/>
    <w:pPr>
      <w:spacing w:after="200" w:line="276" w:lineRule="auto"/>
    </w:pPr>
    <w:rPr>
      <w:color w:val="000000"/>
      <w:kern w:val="36"/>
      <w:sz w:val="24"/>
      <w:szCs w:val="24"/>
      <w:lang w:eastAsia="en-US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59"/>
    <w:rsid w:val="00203F9C"/>
    <w:rPr>
      <w:bCs w:val="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ligao">
    <w:name w:val="Hyperlink"/>
    <w:uiPriority w:val="99"/>
    <w:unhideWhenUsed w:val="1"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16227"/>
    <w:pPr>
      <w:ind w:left="720"/>
      <w:contextualSpacing w:val="1"/>
    </w:pPr>
    <w:rPr>
      <w:rFonts w:ascii="Calibri" w:cs="Times New Roman" w:hAnsi="Calibri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6353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cter" w:customStyle="1">
    <w:name w:val="Texto de balão Carácter"/>
    <w:link w:val="Textodebalo"/>
    <w:uiPriority w:val="99"/>
    <w:semiHidden w:val="1"/>
    <w:rsid w:val="006353E1"/>
    <w:rPr>
      <w:rFonts w:ascii="Tahoma" w:cs="Tahoma" w:hAnsi="Tahoma"/>
      <w:color w:val="000000"/>
      <w:kern w:val="36"/>
      <w:sz w:val="16"/>
      <w:szCs w:val="16"/>
      <w:lang w:eastAsia="en-US"/>
    </w:rPr>
  </w:style>
  <w:style w:type="paragraph" w:styleId="Default" w:customStyle="1">
    <w:name w:val="Default"/>
    <w:rsid w:val="00285AD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RodapCarter" w:customStyle="1">
    <w:name w:val="Rodapé Caráter"/>
    <w:basedOn w:val="Tipodeletrapredefinidodopargrafo"/>
    <w:uiPriority w:val="99"/>
    <w:rsid w:val="00E856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qMWH5bMNm0bzEHljOC2JH0o5Q==">CgMxLjAyCGguZ2pkZ3hzMghoLmdqZGd4czgAciExbFdSTFBWcmVpbnlyeDhRUnVXWkxFNWhkMEJKaGdqRjc=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2024-12-16T10:32:00Z</dcterms:created>
  <dc:creator>Cristina</dc:creator>
</cp:coreProperties>
</file>