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ESTRATÉGIA DE EDUCAÇÃO PARA A CIDADANIA 2024/2025 – Balanço do 1º período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Nível de ensino/Ciclo: 2º     Ano: 6.º   Turma: B</w:t>
      </w:r>
    </w:p>
    <w:tbl>
      <w:tblPr>
        <w:tblStyle w:val="Table1"/>
        <w:tblW w:w="14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3315"/>
        <w:gridCol w:w="2145"/>
        <w:gridCol w:w="1350"/>
        <w:gridCol w:w="2925"/>
        <w:gridCol w:w="1545"/>
        <w:gridCol w:w="1635"/>
        <w:tblGridChange w:id="0">
          <w:tblGrid>
            <w:gridCol w:w="1695"/>
            <w:gridCol w:w="3315"/>
            <w:gridCol w:w="2145"/>
            <w:gridCol w:w="1350"/>
            <w:gridCol w:w="2925"/>
            <w:gridCol w:w="1545"/>
            <w:gridCol w:w="16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Atividades/ 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Disciplina(s)/ Área(s) envolvida(s)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Aprendizagens essenciais alcançadas/ a desenvolver 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Outros intervenientes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(BE, SPO, parceiros locais,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Calendarização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Direitos Humanos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Relacionar o conceito de dignidade humana com a Declaração Universal dos Direitos do Homem;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CD; EMRC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Conhecimento do conceito de dignidade humana.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Consulta e conhecimento dos objetivos da Declaração Universal dos Direitos do Homem;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1º P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Desenvolvimento Sustentável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Utilizar algoritmos.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Movimentar personagens através da utilização de um conjunto de comandos.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Mapear teclas para movimentar personagens.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Criar programas para completar figuras bidimensionais.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Criar programas para completar figuras bidimensionais.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Explicar o que são instruções em paralelo.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Utilizar algoritmos.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Movimentar personagens através da utilização de um conjunto de comandos.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Exploração dos Objetivos de Desenvolvimento Sustentável da Agenda 2030 da ONU, nomeadamente os objetivos 1, 2, 3, 4, 5, 6, 7, 9, 11, 12, 13, 14, 15, 16 e 17, proporcionada pelo desenvolvimento de 4 aulas da plataforma ubbu (da aula N.º20 à aula N.º24).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84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Coordenação olho-mão.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Criatividade.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Transformação da informação em conhecimento.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Resolução de problemas.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Capacidade percetivo-motora.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Responsabilidade Ambiental.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Literacia financeira e educação para o consumo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Aquisição e desenvolvimento de conhecimentos e capacidades para as decisões que, no presente e no futuro, tenham de tomar sobre as suas finanças pessoais, habilitando-os como consumidores.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literacia financeira “ Gestão do Orçamento”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84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Matemática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Distinguir necessidades de desejos.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Distinguir despesas e rendimentos.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Elaboração de um orçamento.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1º P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Risco/Segurança/Saúde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Desenvolvimento do 2.º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Não à Violência Online.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84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Desligar os dados do telemóvel durante a noite.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Risco/Cibersegurança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·Compreender como as questões sociais, culturais e económicas influenciam os consumos alimentares  </w:t>
            </w:r>
          </w:p>
          <w:p w:rsidR="00000000" w:rsidDel="00000000" w:rsidP="00000000" w:rsidRDefault="00000000" w:rsidRPr="00000000" w14:paraId="00000064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·Identificar a Dieta Mediterrânica como exemplo das diferentes influências socioculturais sobre o consumo alimentar</w:t>
            </w:r>
          </w:p>
          <w:p w:rsidR="00000000" w:rsidDel="00000000" w:rsidP="00000000" w:rsidRDefault="00000000" w:rsidRPr="00000000" w14:paraId="00000065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·Reconhecer a alimentação como um dos principais determinantes da saúde</w:t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·Relacionar a alimentação com a prevenção e desenvolvimentos das principais doenças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crónicas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(diabetes, doença cardiovascular e oncológica)</w:t>
            </w:r>
          </w:p>
          <w:p w:rsidR="00000000" w:rsidDel="00000000" w:rsidP="00000000" w:rsidRDefault="00000000" w:rsidRPr="00000000" w14:paraId="00000067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·Reconhecer a Dieta Mediterrânica como exemplo de um padrão alimentar saudável</w:t>
            </w:r>
          </w:p>
          <w:p w:rsidR="00000000" w:rsidDel="00000000" w:rsidP="00000000" w:rsidRDefault="00000000" w:rsidRPr="00000000" w14:paraId="00000068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·Reconhecer que as escolhas alimentares são influenciadas por determinantes psicológicos e sensoriais, a nível individual e de grupo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·Analisar criticamente os comportamentos de risco na alimentação</w:t>
            </w:r>
          </w:p>
          <w:p w:rsidR="00000000" w:rsidDel="00000000" w:rsidP="00000000" w:rsidRDefault="00000000" w:rsidRPr="00000000" w14:paraId="0000006A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·Reconhecer o impacto que os padrões alimentares têm sobre o ambiente  </w:t>
            </w:r>
          </w:p>
          <w:p w:rsidR="00000000" w:rsidDel="00000000" w:rsidP="00000000" w:rsidRDefault="00000000" w:rsidRPr="00000000" w14:paraId="0000006B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·Adotar comportamentos adequados na aquisição, armazenamento, preparação e consumo de alimentos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·Reconhecer a escola como um espaço próprio para a promoção da alimentação saudável e adoção de comportamentos alimentares equilibrados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Visionamento de filmes sobre os objetivos e AE</w:t>
            </w:r>
          </w:p>
          <w:p w:rsidR="00000000" w:rsidDel="00000000" w:rsidP="00000000" w:rsidRDefault="00000000" w:rsidRPr="00000000" w14:paraId="0000006E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 sobre os assuntos (ex. roda dos alimentos e dieta mediterrânica, alimentação saudável e equilibrada, normas em vigor nas cantinas e bufetes)</w:t>
            </w:r>
          </w:p>
          <w:p w:rsidR="00000000" w:rsidDel="00000000" w:rsidP="00000000" w:rsidRDefault="00000000" w:rsidRPr="00000000" w14:paraId="00000070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Aulas práticas PASS</w:t>
            </w:r>
          </w:p>
          <w:p w:rsidR="00000000" w:rsidDel="00000000" w:rsidP="00000000" w:rsidRDefault="00000000" w:rsidRPr="00000000" w14:paraId="00000074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E, Visita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ao mercado municipal de P.G.</w:t>
            </w:r>
          </w:p>
          <w:p w:rsidR="00000000" w:rsidDel="00000000" w:rsidP="00000000" w:rsidRDefault="00000000" w:rsidRPr="00000000" w14:paraId="00000075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Aplicação do Revelador da Placa</w:t>
            </w:r>
          </w:p>
          <w:p w:rsidR="00000000" w:rsidDel="00000000" w:rsidP="00000000" w:rsidRDefault="00000000" w:rsidRPr="00000000" w14:paraId="00000077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Bacteriana</w:t>
            </w:r>
          </w:p>
          <w:p w:rsidR="00000000" w:rsidDel="00000000" w:rsidP="00000000" w:rsidRDefault="00000000" w:rsidRPr="00000000" w14:paraId="00000078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Elaboração de ementas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Relacionar a existência dos nutrientes com a função que desempenham no corpo humano, partindo da análise de documentos diversificados e valorizando a interdisciplinaridade;</w:t>
            </w:r>
          </w:p>
          <w:p w:rsidR="00000000" w:rsidDel="00000000" w:rsidP="00000000" w:rsidRDefault="00000000" w:rsidRPr="00000000" w14:paraId="0000007D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Elaborar algumas ementas equilibradas e discutir os riscos e os benefícios dos alimentos para a saúde humana;</w:t>
            </w:r>
          </w:p>
          <w:p w:rsidR="00000000" w:rsidDel="00000000" w:rsidP="00000000" w:rsidRDefault="00000000" w:rsidRPr="00000000" w14:paraId="0000007E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Relacionar os órgãos do sistema digestivo com as transformações químicas e mecânicas dos alimentos que neles ocorrem.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 e</w:t>
            </w:r>
          </w:p>
          <w:p w:rsidR="00000000" w:rsidDel="00000000" w:rsidP="00000000" w:rsidRDefault="00000000" w:rsidRPr="00000000" w14:paraId="00000081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UCC</w:t>
            </w:r>
          </w:p>
          <w:p w:rsidR="00000000" w:rsidDel="00000000" w:rsidP="00000000" w:rsidRDefault="00000000" w:rsidRPr="00000000" w14:paraId="00000082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(centro de saúde)</w:t>
            </w:r>
          </w:p>
          <w:p w:rsidR="00000000" w:rsidDel="00000000" w:rsidP="00000000" w:rsidRDefault="00000000" w:rsidRPr="00000000" w14:paraId="00000083">
            <w:pPr>
              <w:spacing w:after="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after="0" w:before="240" w:line="240" w:lineRule="auto"/>
              <w:jc w:val="center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Projeto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PASS da Região de Leiria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1.º Período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Desenvolvimento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Sustentável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Produção e Consumo Sustentáveis</w:t>
            </w:r>
          </w:p>
          <w:p w:rsidR="00000000" w:rsidDel="00000000" w:rsidP="00000000" w:rsidRDefault="00000000" w:rsidRPr="00000000" w14:paraId="0000008A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· Conhecer o ciclo de vida de diferentes bens de consumo</w:t>
            </w:r>
          </w:p>
          <w:p w:rsidR="00000000" w:rsidDel="00000000" w:rsidP="00000000" w:rsidRDefault="00000000" w:rsidRPr="00000000" w14:paraId="0000008B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· Incorporar práticas de consumo responsável</w:t>
            </w:r>
          </w:p>
          <w:p w:rsidR="00000000" w:rsidDel="00000000" w:rsidP="00000000" w:rsidRDefault="00000000" w:rsidRPr="00000000" w14:paraId="0000008C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· Reconhecer práticas de consumo responsável que visem a redução, a reutilização e a reciclagem de resíduos</w:t>
            </w:r>
          </w:p>
          <w:p w:rsidR="00000000" w:rsidDel="00000000" w:rsidP="00000000" w:rsidRDefault="00000000" w:rsidRPr="00000000" w14:paraId="0000008D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· Compreender a importância da informação existente nos rótulos dos bens e serviços para a decisão de um consumo responsável</w:t>
            </w:r>
          </w:p>
          <w:p w:rsidR="00000000" w:rsidDel="00000000" w:rsidP="00000000" w:rsidRDefault="00000000" w:rsidRPr="00000000" w14:paraId="0000008E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· Conhecer tipos de informação existente na rotulagem de diferentes produtos</w:t>
            </w:r>
          </w:p>
          <w:p w:rsidR="00000000" w:rsidDel="00000000" w:rsidP="00000000" w:rsidRDefault="00000000" w:rsidRPr="00000000" w14:paraId="0000008F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· Reconhecer a importância das informações contidas nos rótulos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before="240" w:line="276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Visionamento de filmes sobre os objetivos e  AE</w:t>
            </w:r>
          </w:p>
          <w:p w:rsidR="00000000" w:rsidDel="00000000" w:rsidP="00000000" w:rsidRDefault="00000000" w:rsidRPr="00000000" w14:paraId="00000093">
            <w:pPr>
              <w:spacing w:after="0"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Debates sobre os assuntos </w:t>
            </w:r>
          </w:p>
          <w:p w:rsidR="00000000" w:rsidDel="00000000" w:rsidP="00000000" w:rsidRDefault="00000000" w:rsidRPr="00000000" w14:paraId="00000094">
            <w:pPr>
              <w:spacing w:after="0" w:before="24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Análise de rótulos de produtos alimentare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Ciências Naturais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Interpretar informação contida em rótulos de alimentos familiares aos alunos; </w:t>
            </w:r>
          </w:p>
          <w:p w:rsidR="00000000" w:rsidDel="00000000" w:rsidP="00000000" w:rsidRDefault="00000000" w:rsidRPr="00000000" w14:paraId="00000098">
            <w:pPr>
              <w:spacing w:after="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Identificar riscos e benefícios dos aditivos alimentares;</w:t>
            </w:r>
          </w:p>
          <w:p w:rsidR="00000000" w:rsidDel="00000000" w:rsidP="00000000" w:rsidRDefault="00000000" w:rsidRPr="00000000" w14:paraId="00000099">
            <w:pPr>
              <w:spacing w:after="0"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Discutir a importância da ciência e da tecnologia na evolução dos produtos alimentares, articulando com saberes de outras disciplinas.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1.º Período</w:t>
            </w:r>
          </w:p>
        </w:tc>
      </w:tr>
      <w:tr>
        <w:trPr>
          <w:cantSplit w:val="0"/>
          <w:trHeight w:val="24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after="240" w:before="240" w:line="276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76" w:lineRule="auto"/>
              <w:ind w:left="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0A3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0A4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 Musical </w:t>
            </w:r>
          </w:p>
          <w:p w:rsidR="00000000" w:rsidDel="00000000" w:rsidP="00000000" w:rsidRDefault="00000000" w:rsidRPr="00000000" w14:paraId="000000AB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76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0B0">
            <w:pPr>
              <w:spacing w:after="240" w:before="240" w:line="276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0B1">
            <w:pPr>
              <w:spacing w:after="240" w:before="240" w:line="276" w:lineRule="auto"/>
              <w:ind w:left="1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spacing w:after="0" w:before="240" w:line="276" w:lineRule="auto"/>
              <w:ind w:left="10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after="24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after="0" w:before="240" w:line="276" w:lineRule="auto"/>
              <w:ind w:lef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1ºPeríodo</w:t>
            </w:r>
          </w:p>
        </w:tc>
      </w:tr>
    </w:tbl>
    <w:p w:rsidR="00000000" w:rsidDel="00000000" w:rsidP="00000000" w:rsidRDefault="00000000" w:rsidRPr="00000000" w14:paraId="000000BB">
      <w:pPr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d9d9d9" w:val="clear"/>
        <w:spacing w:after="0" w:line="276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NOTAS:</w:t>
      </w:r>
    </w:p>
    <w:p w:rsidR="00000000" w:rsidDel="00000000" w:rsidP="00000000" w:rsidRDefault="00000000" w:rsidRPr="00000000" w14:paraId="000000BD">
      <w:pPr>
        <w:shd w:fill="d9d9d9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1</w:t>
      </w:r>
      <w:r w:rsidDel="00000000" w:rsidR="00000000" w:rsidRPr="00000000">
        <w:rPr>
          <w:i w:val="1"/>
          <w:sz w:val="18"/>
          <w:szCs w:val="18"/>
          <w:rtl w:val="0"/>
        </w:rPr>
        <w:t xml:space="preserve"> –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Domínios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(n.º 2 do artigo 11.º da Portaria 223-A/2018)</w:t>
      </w:r>
      <w:r w:rsidDel="00000000" w:rsidR="00000000" w:rsidRPr="00000000">
        <w:rPr>
          <w:i w:val="1"/>
          <w:sz w:val="18"/>
          <w:szCs w:val="18"/>
          <w:rtl w:val="0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 Direitos Humanos; Igualdade de Género; Interculturalidade; Desenvolvimento Sustentável; Educação Ambiental;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d9d9d9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Sexualidade; Media; Instituições e participação democrática; Literacia financeira e educação para o consumo</w:t>
      </w:r>
      <w:r w:rsidDel="00000000" w:rsidR="00000000" w:rsidRPr="00000000">
        <w:rPr>
          <w:sz w:val="18"/>
          <w:szCs w:val="18"/>
          <w:rtl w:val="0"/>
        </w:rPr>
        <w:t xml:space="preserve">Educação Musical</w:t>
      </w:r>
    </w:p>
    <w:p w:rsidR="00000000" w:rsidDel="00000000" w:rsidP="00000000" w:rsidRDefault="00000000" w:rsidRPr="00000000" w14:paraId="000000BF">
      <w:pPr>
        <w:shd w:fill="d9d9d9" w:val="clear"/>
        <w:spacing w:after="0"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; Risco; Segurança Rodoviária;</w:t>
      </w:r>
    </w:p>
    <w:p w:rsidR="00000000" w:rsidDel="00000000" w:rsidP="00000000" w:rsidRDefault="00000000" w:rsidRPr="00000000" w14:paraId="000000C0">
      <w:pPr>
        <w:shd w:fill="d9d9d9" w:val="clear"/>
        <w:spacing w:after="0" w:line="276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                              Empreendedorismo; Mundo do trabalho; Segurança, defesa e paz; Bem-estar animal; Voluntariado. Outros.</w:t>
      </w:r>
    </w:p>
    <w:p w:rsidR="00000000" w:rsidDel="00000000" w:rsidP="00000000" w:rsidRDefault="00000000" w:rsidRPr="00000000" w14:paraId="000000C1">
      <w:pPr>
        <w:shd w:fill="d9d9d9" w:val="clear"/>
        <w:spacing w:after="0" w:lineRule="auto"/>
        <w:rPr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2 </w:t>
      </w:r>
      <w:r w:rsidDel="00000000" w:rsidR="00000000" w:rsidRPr="00000000">
        <w:rPr>
          <w:i w:val="1"/>
          <w:sz w:val="18"/>
          <w:szCs w:val="18"/>
          <w:rtl w:val="0"/>
        </w:rPr>
        <w:t xml:space="preserve">–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Objetivos</w:t>
      </w:r>
      <w:r w:rsidDel="00000000" w:rsidR="00000000" w:rsidRPr="00000000">
        <w:rPr>
          <w:i w:val="1"/>
          <w:sz w:val="18"/>
          <w:szCs w:val="18"/>
          <w:rtl w:val="0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 são selecionados de entre os que constam dos referenciais de cada domínio, quando existam – disponíveis em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https://cidadania.dge.mec.pt/documentos-referencia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C2">
      <w:pPr>
        <w:shd w:fill="d9d9d9" w:val="clear"/>
        <w:rPr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3</w:t>
      </w:r>
      <w:r w:rsidDel="00000000" w:rsidR="00000000" w:rsidRPr="00000000">
        <w:rPr>
          <w:i w:val="1"/>
          <w:sz w:val="18"/>
          <w:szCs w:val="18"/>
          <w:rtl w:val="0"/>
        </w:rPr>
        <w:t xml:space="preserve"> –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Aprendizagens essenciais</w:t>
      </w:r>
      <w:r w:rsidDel="00000000" w:rsidR="00000000" w:rsidRPr="00000000">
        <w:rPr>
          <w:sz w:val="18"/>
          <w:szCs w:val="18"/>
          <w:rtl w:val="0"/>
        </w:rPr>
        <w:t xml:space="preserve">: aquelas que estão definidas nas planificações das disciplinas; podem ser os “objetivos” ou as “metas de aprendizagem” (depende do nível de ensino/ano escolar).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Pedrógão Grande, 02 de janeiro de 2025.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O(A) Educador(a)/ Professor(a) titular/ Diretor(a) de Turma: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José Domingues</w:t>
      </w:r>
    </w:p>
    <w:sectPr>
      <w:headerReference r:id="rId8" w:type="default"/>
      <w:footerReference r:id="rId9" w:type="default"/>
      <w:pgSz w:h="11906" w:w="16838" w:orient="landscape"/>
      <w:pgMar w:bottom="709" w:top="1134" w:left="1417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7112000</wp:posOffset>
              </wp:positionV>
              <wp:extent cx="6172200" cy="274320"/>
              <wp:effectExtent b="0" l="0" r="0" t="0"/>
              <wp:wrapNone/>
              <wp:docPr id="20896472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25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" cy="274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00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" y="0"/>
                            <a:ext cx="59436" cy="27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"/>
                            <a:ext cx="59436" cy="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472c4"/>
                                  <w:sz w:val="20"/>
                                  <w:vertAlign w:val="baseline"/>
                                </w:rPr>
                                <w:t xml:space="preserve">ESTRATÉGIA DE EDUCAÇÃO PARA A CIDADANIA 2024/2025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|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BALANÇO DO 1º PERÍODO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7112000</wp:posOffset>
              </wp:positionV>
              <wp:extent cx="6172200" cy="274320"/>
              <wp:effectExtent b="0" l="0" r="0" t="0"/>
              <wp:wrapNone/>
              <wp:docPr id="20896472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10046018</wp:posOffset>
              </wp:positionH>
              <wp:positionV relativeFrom="page">
                <wp:posOffset>3327717</wp:posOffset>
              </wp:positionV>
              <wp:extent cx="771525" cy="904875"/>
              <wp:effectExtent b="0" l="0" r="0" t="0"/>
              <wp:wrapNone/>
              <wp:docPr id="208964722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10046018</wp:posOffset>
              </wp:positionH>
              <wp:positionV relativeFrom="page">
                <wp:posOffset>3327717</wp:posOffset>
              </wp:positionV>
              <wp:extent cx="771525" cy="904875"/>
              <wp:effectExtent b="0" l="0" r="0" t="0"/>
              <wp:wrapNone/>
              <wp:docPr id="20896472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25550" cy="713105"/>
          <wp:effectExtent b="0" l="0" r="0" t="0"/>
          <wp:docPr id="20896472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550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7550784</wp:posOffset>
          </wp:positionH>
          <wp:positionV relativeFrom="paragraph">
            <wp:posOffset>-38099</wp:posOffset>
          </wp:positionV>
          <wp:extent cx="1365885" cy="628015"/>
          <wp:effectExtent b="0" l="0" r="0" t="0"/>
          <wp:wrapSquare wrapText="bothSides" distB="0" distT="0" distL="114300" distR="114300"/>
          <wp:docPr id="20896472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5885" cy="628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3F08"/>
    <w:pPr>
      <w:spacing w:after="160" w:line="259" w:lineRule="auto"/>
    </w:pPr>
    <w:rPr>
      <w:sz w:val="22"/>
      <w:szCs w:val="22"/>
      <w:lang w:eastAsia="en-US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39"/>
    <w:rsid w:val="002F07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B36DF"/>
    <w:pPr>
      <w:ind w:left="720"/>
      <w:contextualSpacing w:val="1"/>
    </w:pPr>
  </w:style>
  <w:style w:type="paragraph" w:styleId="Cabealho">
    <w:name w:val="header"/>
    <w:basedOn w:val="Normal"/>
    <w:link w:val="CabealhoCarter"/>
    <w:uiPriority w:val="99"/>
    <w:unhideWhenUsed w:val="1"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6D756C"/>
  </w:style>
  <w:style w:type="paragraph" w:styleId="Rodap">
    <w:name w:val="footer"/>
    <w:basedOn w:val="Normal"/>
    <w:link w:val="RodapCarter"/>
    <w:uiPriority w:val="99"/>
    <w:unhideWhenUsed w:val="1"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6D756C"/>
  </w:style>
  <w:style w:type="character" w:styleId="Hiperligao">
    <w:name w:val="Hyperlink"/>
    <w:basedOn w:val="Tipodeletrapredefinidodopargrafo"/>
    <w:uiPriority w:val="99"/>
    <w:semiHidden w:val="1"/>
    <w:unhideWhenUsed w:val="1"/>
    <w:rsid w:val="00E636A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6D32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6D321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idadania.dge.mec.pt/documentos-referenci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q9MLNdqMm0P8GVZOjDmUB0t2g==">CgMxLjA4AHIhMXlRNlZrY29rbjNnN2Y1emRDS2dLb092bGh5al9jdEVu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2025-01-06T15:09:00Z</dcterms:created>
  <dc:creator>João Pires</dc:creator>
</cp:coreProperties>
</file>