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611.0000000000002" w:tblpY="0"/>
        <w:tblW w:w="1417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7012"/>
        <w:gridCol w:w="3653"/>
        <w:tblGridChange w:id="0">
          <w:tblGrid>
            <w:gridCol w:w="3510"/>
            <w:gridCol w:w="7012"/>
            <w:gridCol w:w="36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42" w:right="-108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628775" cy="723900"/>
                  <wp:effectExtent b="0" l="0" r="0" t="0"/>
                  <wp:docPr descr="Log novo EducaçãoJPEG" id="402" name="image1.jpg"/>
                  <a:graphic>
                    <a:graphicData uri="http://schemas.openxmlformats.org/drawingml/2006/picture">
                      <pic:pic>
                        <pic:nvPicPr>
                          <pic:cNvPr descr="Log novo EducaçãoJPE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720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40" w:lineRule="auto"/>
              <w:ind w:right="-10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Agrupamento de Escolas de Pedrógão Grande</w:t>
            </w:r>
          </w:p>
          <w:p w:rsidR="00000000" w:rsidDel="00000000" w:rsidP="00000000" w:rsidRDefault="00000000" w:rsidRPr="00000000" w14:paraId="00000005">
            <w:pPr>
              <w:spacing w:after="120" w:before="12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Escola Básica Miguel Leitão de Andrada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-108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466850" cy="733425"/>
                  <wp:effectExtent b="0" l="0" r="0" t="0"/>
                  <wp:docPr descr="Cores_FundoBranco_semAssinatura_Leve" id="403" name="image3.jpg"/>
                  <a:graphic>
                    <a:graphicData uri="http://schemas.openxmlformats.org/drawingml/2006/picture">
                      <pic:pic>
                        <pic:nvPicPr>
                          <pic:cNvPr descr="Cores_FundoBranco_semAssinatura_Leve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ESTRATÉGIA DE EDUCAÇÃO PARA A CIDADANIA 2024/2025 – Balanço do 1º período</w:t>
      </w:r>
    </w:p>
    <w:p w:rsidR="00000000" w:rsidDel="00000000" w:rsidP="00000000" w:rsidRDefault="00000000" w:rsidRPr="00000000" w14:paraId="00000009">
      <w:pPr>
        <w:spacing w:after="120"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Nível de ensino/Ciclo: 2º Ciclo</w:t>
        <w:tab/>
        <w:tab/>
        <w:t xml:space="preserve">Ano: 5º</w:t>
        <w:tab/>
        <w:tab/>
        <w:t xml:space="preserve">Turma: B</w:t>
      </w:r>
    </w:p>
    <w:tbl>
      <w:tblPr>
        <w:tblStyle w:val="Table2"/>
        <w:tblW w:w="156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4"/>
        <w:gridCol w:w="2379"/>
        <w:gridCol w:w="2392"/>
        <w:gridCol w:w="2542"/>
        <w:gridCol w:w="2339"/>
        <w:gridCol w:w="2584"/>
        <w:gridCol w:w="1473"/>
        <w:tblGridChange w:id="0">
          <w:tblGrid>
            <w:gridCol w:w="1904"/>
            <w:gridCol w:w="2379"/>
            <w:gridCol w:w="2392"/>
            <w:gridCol w:w="2542"/>
            <w:gridCol w:w="2339"/>
            <w:gridCol w:w="2584"/>
            <w:gridCol w:w="1473"/>
          </w:tblGrid>
        </w:tblGridChange>
      </w:tblGrid>
      <w:tr>
        <w:trPr>
          <w:cantSplit w:val="0"/>
          <w:trHeight w:val="83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Domínios abordados/ em abordagem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Identificação do(s) objetivo(s)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Atividades/projetos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Disciplina(s)/ Área(s) envolvida(s)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Aprendizagens essenciais alcançadas/ a desenvolver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Outros intervenientes (BE, SPO, PES, parceiros locais, …)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Calendarização</w:t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Educação Ambiental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Desenvolvimento Sustentável</w:t>
            </w:r>
          </w:p>
          <w:p w:rsidR="00000000" w:rsidDel="00000000" w:rsidP="00000000" w:rsidRDefault="00000000" w:rsidRPr="00000000" w14:paraId="00000015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84"/>
              </w:tabs>
              <w:spacing w:after="0" w:before="1" w:line="240" w:lineRule="auto"/>
              <w:ind w:left="18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-Enunciar os principias problemas ambientais e elencar possíveis soluções para os citados problemas ambientais;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84"/>
              </w:tabs>
              <w:spacing w:after="0" w:before="1" w:line="240" w:lineRule="auto"/>
              <w:ind w:left="18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Apelar ao uso dos recursos naturais com respeito ao próximo e ao meio ambiente;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84"/>
              </w:tabs>
              <w:spacing w:after="0" w:before="4" w:line="237" w:lineRule="auto"/>
              <w:ind w:left="181" w:right="11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Participar em ações na escola e na comunidade que visem a adoção de comportamentos, individuais e coletivos, ambientalmente responsáveis;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7" w:lineRule="auto"/>
              <w:ind w:left="181" w:right="11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Sensibilizar a comunidade para a necessidade de uma gestão sustentável dos recursos naturais;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7" w:lineRule="auto"/>
              <w:ind w:left="181" w:right="11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Reduzir a pegada ecológica;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7" w:lineRule="auto"/>
              <w:ind w:left="181" w:right="11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-Reconhecer os efeitos na saúde e no ambiente da crescente utilização do transporte individual (motorizado);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7" w:lineRule="auto"/>
              <w:ind w:left="181" w:right="11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Identificar comportamentos promotores da mobilidade sustentável;</w:t>
            </w:r>
          </w:p>
          <w:p w:rsidR="00000000" w:rsidDel="00000000" w:rsidP="00000000" w:rsidRDefault="00000000" w:rsidRPr="00000000" w14:paraId="0000004B">
            <w:pPr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Intervir junto das autoridades competentes, designadamente as autarquias, com propostas conducentes à promoção da mobilidade sustentável.</w:t>
            </w:r>
          </w:p>
          <w:p w:rsidR="00000000" w:rsidDel="00000000" w:rsidP="00000000" w:rsidRDefault="00000000" w:rsidRPr="00000000" w14:paraId="0000004C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Reconhecer regras básicas de segurança na plataforma.</w:t>
            </w:r>
          </w:p>
          <w:p w:rsidR="00000000" w:rsidDel="00000000" w:rsidP="00000000" w:rsidRDefault="00000000" w:rsidRPr="00000000" w14:paraId="0000004D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Perceber que a palavra-passe é secreta.</w:t>
            </w:r>
          </w:p>
          <w:p w:rsidR="00000000" w:rsidDel="00000000" w:rsidP="00000000" w:rsidRDefault="00000000" w:rsidRPr="00000000" w14:paraId="0000004E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Identificar e refletir sobre objetos que têm computadores instalados.</w:t>
            </w:r>
          </w:p>
          <w:p w:rsidR="00000000" w:rsidDel="00000000" w:rsidP="00000000" w:rsidRDefault="00000000" w:rsidRPr="00000000" w14:paraId="0000004F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Explicar o que fazem e para que servem alguns objetos que têm computadores instalados.</w:t>
            </w:r>
          </w:p>
          <w:p w:rsidR="00000000" w:rsidDel="00000000" w:rsidP="00000000" w:rsidRDefault="00000000" w:rsidRPr="00000000" w14:paraId="00000050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o que é o código.</w:t>
            </w:r>
          </w:p>
          <w:p w:rsidR="00000000" w:rsidDel="00000000" w:rsidP="00000000" w:rsidRDefault="00000000" w:rsidRPr="00000000" w14:paraId="00000051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o que é a reciclagem e reconhecer a sua importância.</w:t>
            </w:r>
          </w:p>
          <w:p w:rsidR="00000000" w:rsidDel="00000000" w:rsidP="00000000" w:rsidRDefault="00000000" w:rsidRPr="00000000" w14:paraId="00000052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Explicar para que servem os planos de construção dos robôs.</w:t>
            </w:r>
          </w:p>
          <w:p w:rsidR="00000000" w:rsidDel="00000000" w:rsidP="00000000" w:rsidRDefault="00000000" w:rsidRPr="00000000" w14:paraId="00000053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Construir robôs virtuais na plataforma.</w:t>
            </w:r>
          </w:p>
          <w:p w:rsidR="00000000" w:rsidDel="00000000" w:rsidP="00000000" w:rsidRDefault="00000000" w:rsidRPr="00000000" w14:paraId="00000054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Explicar o que são regras.</w:t>
            </w:r>
          </w:p>
          <w:p w:rsidR="00000000" w:rsidDel="00000000" w:rsidP="00000000" w:rsidRDefault="00000000" w:rsidRPr="00000000" w14:paraId="00000055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a importância das regras para a programação.</w:t>
            </w:r>
          </w:p>
          <w:p w:rsidR="00000000" w:rsidDel="00000000" w:rsidP="00000000" w:rsidRDefault="00000000" w:rsidRPr="00000000" w14:paraId="00000056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Explicar o que são algoritmos.</w:t>
            </w:r>
          </w:p>
          <w:p w:rsidR="00000000" w:rsidDel="00000000" w:rsidP="00000000" w:rsidRDefault="00000000" w:rsidRPr="00000000" w14:paraId="00000057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Selecionar comandos de instruções (frente, trás, cima, baixo) para movimentar um robô virtual.</w:t>
            </w:r>
          </w:p>
          <w:p w:rsidR="00000000" w:rsidDel="00000000" w:rsidP="00000000" w:rsidRDefault="00000000" w:rsidRPr="00000000" w14:paraId="00000058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Programar um robô humano.</w:t>
            </w:r>
          </w:p>
          <w:p w:rsidR="00000000" w:rsidDel="00000000" w:rsidP="00000000" w:rsidRDefault="00000000" w:rsidRPr="00000000" w14:paraId="00000059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Explicar o que é uma sequência.</w:t>
            </w:r>
          </w:p>
          <w:p w:rsidR="00000000" w:rsidDel="00000000" w:rsidP="00000000" w:rsidRDefault="00000000" w:rsidRPr="00000000" w14:paraId="0000005A">
            <w:pPr>
              <w:spacing w:after="0" w:before="24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Usar vocabulário específico para expressar uma ideia (algoritmo e sequência).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before="24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Preparação de uma exposição com os trabalhos desenvolvidos e os objetos elaborados</w:t>
            </w:r>
          </w:p>
          <w:p w:rsidR="00000000" w:rsidDel="00000000" w:rsidP="00000000" w:rsidRDefault="00000000" w:rsidRPr="00000000" w14:paraId="0000005C">
            <w:pPr>
              <w:spacing w:after="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Exploração dos Objetivos de Desenvolvimento Sustentável da Agenda 2030 da ONU, nomeadamente os objetivos 2, 3, 4, 5, 6, 7, 8, 9, 11, 12, 13, 14, 15 e 17, proporcionada pelo desenvolvimento das primeiras 10 aulas da plataforma ubbu.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HGP</w:t>
            </w:r>
          </w:p>
          <w:p w:rsidR="00000000" w:rsidDel="00000000" w:rsidP="00000000" w:rsidRDefault="00000000" w:rsidRPr="00000000" w14:paraId="0000005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PORTUGUÊS</w:t>
            </w:r>
          </w:p>
          <w:p w:rsidR="00000000" w:rsidDel="00000000" w:rsidP="00000000" w:rsidRDefault="00000000" w:rsidRPr="00000000" w14:paraId="0000005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EVT</w:t>
            </w:r>
          </w:p>
          <w:p w:rsidR="00000000" w:rsidDel="00000000" w:rsidP="00000000" w:rsidRDefault="00000000" w:rsidRPr="00000000" w14:paraId="0000006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CIÊNCIAS NATURAIS</w:t>
            </w:r>
          </w:p>
          <w:p w:rsidR="00000000" w:rsidDel="00000000" w:rsidP="00000000" w:rsidRDefault="00000000" w:rsidRPr="00000000" w14:paraId="00000061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INGLÊS</w:t>
            </w:r>
          </w:p>
          <w:p w:rsidR="00000000" w:rsidDel="00000000" w:rsidP="00000000" w:rsidRDefault="00000000" w:rsidRPr="00000000" w14:paraId="00000062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CIDADANIA E DESENVOLVIMENTO</w:t>
            </w:r>
          </w:p>
          <w:p w:rsidR="00000000" w:rsidDel="00000000" w:rsidP="00000000" w:rsidRDefault="00000000" w:rsidRPr="00000000" w14:paraId="00000063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TIC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Colaboração.</w:t>
            </w:r>
          </w:p>
          <w:p w:rsidR="00000000" w:rsidDel="00000000" w:rsidP="00000000" w:rsidRDefault="00000000" w:rsidRPr="00000000" w14:paraId="00000065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Compreensão e expressão.</w:t>
            </w:r>
          </w:p>
          <w:p w:rsidR="00000000" w:rsidDel="00000000" w:rsidP="00000000" w:rsidRDefault="00000000" w:rsidRPr="00000000" w14:paraId="00000066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Coordenação olho-mão.</w:t>
            </w:r>
          </w:p>
          <w:p w:rsidR="00000000" w:rsidDel="00000000" w:rsidP="00000000" w:rsidRDefault="00000000" w:rsidRPr="00000000" w14:paraId="00000067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Criatividade.</w:t>
            </w:r>
          </w:p>
          <w:p w:rsidR="00000000" w:rsidDel="00000000" w:rsidP="00000000" w:rsidRDefault="00000000" w:rsidRPr="00000000" w14:paraId="00000068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Literacia digital.</w:t>
            </w:r>
          </w:p>
          <w:p w:rsidR="00000000" w:rsidDel="00000000" w:rsidP="00000000" w:rsidRDefault="00000000" w:rsidRPr="00000000" w14:paraId="00000069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Participação.</w:t>
            </w:r>
          </w:p>
          <w:p w:rsidR="00000000" w:rsidDel="00000000" w:rsidP="00000000" w:rsidRDefault="00000000" w:rsidRPr="00000000" w14:paraId="0000006A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Pensamento crítico.</w:t>
            </w:r>
          </w:p>
          <w:p w:rsidR="00000000" w:rsidDel="00000000" w:rsidP="00000000" w:rsidRDefault="00000000" w:rsidRPr="00000000" w14:paraId="0000006B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Responsabilidade social.</w:t>
            </w:r>
          </w:p>
          <w:p w:rsidR="00000000" w:rsidDel="00000000" w:rsidP="00000000" w:rsidRDefault="00000000" w:rsidRPr="00000000" w14:paraId="0000006C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Transformação da informação em conhecimento.</w:t>
            </w:r>
          </w:p>
          <w:p w:rsidR="00000000" w:rsidDel="00000000" w:rsidP="00000000" w:rsidRDefault="00000000" w:rsidRPr="00000000" w14:paraId="0000006D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Resolução de problemas.</w:t>
            </w:r>
          </w:p>
          <w:p w:rsidR="00000000" w:rsidDel="00000000" w:rsidP="00000000" w:rsidRDefault="00000000" w:rsidRPr="00000000" w14:paraId="0000006E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Capacidade percetivo-motora.</w:t>
            </w:r>
          </w:p>
          <w:p w:rsidR="00000000" w:rsidDel="00000000" w:rsidP="00000000" w:rsidRDefault="00000000" w:rsidRPr="00000000" w14:paraId="0000006F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Responsabilidade Ambiental.</w:t>
            </w:r>
          </w:p>
          <w:p w:rsidR="00000000" w:rsidDel="00000000" w:rsidP="00000000" w:rsidRDefault="00000000" w:rsidRPr="00000000" w14:paraId="00000070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Algoritmos e Programação (algoritmos e controlo).</w:t>
            </w:r>
          </w:p>
          <w:p w:rsidR="00000000" w:rsidDel="00000000" w:rsidP="00000000" w:rsidRDefault="00000000" w:rsidRPr="00000000" w14:paraId="00000071">
            <w:pPr>
              <w:spacing w:after="0" w:before="24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Sistemas de computação (dispositivos, hardware e software).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BE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1º </w:t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Interculturalidade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Identificar a diversidade de crenças e valores em função de fatores históricos, geográficos e culturais.</w:t>
            </w:r>
          </w:p>
          <w:p w:rsidR="00000000" w:rsidDel="00000000" w:rsidP="00000000" w:rsidRDefault="00000000" w:rsidRPr="00000000" w14:paraId="00000076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Reconhecer e aceitar a diversidade de situações, gostos e preferências entre os seus colegas.</w:t>
            </w:r>
          </w:p>
          <w:p w:rsidR="00000000" w:rsidDel="00000000" w:rsidP="00000000" w:rsidRDefault="00000000" w:rsidRPr="00000000" w14:paraId="00000077">
            <w:pPr>
              <w:spacing w:after="0" w:befor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Saber respeitar o outro independentemente das suas caraterísticas físicas ou outras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Leitura de textos.</w:t>
            </w:r>
          </w:p>
          <w:p w:rsidR="00000000" w:rsidDel="00000000" w:rsidP="00000000" w:rsidRDefault="00000000" w:rsidRPr="00000000" w14:paraId="00000079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Realização de trabalhos escritos e debate sobre o tema.</w:t>
            </w:r>
          </w:p>
          <w:p w:rsidR="00000000" w:rsidDel="00000000" w:rsidP="00000000" w:rsidRDefault="00000000" w:rsidRPr="00000000" w14:paraId="0000007A">
            <w:pPr>
              <w:spacing w:after="0" w:befor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Visionamento de vídeos.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INGLÊS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Reconhecer elementos constitutivos da sua própria cultura e da(s) cultura(s) de língua estrangeira: diferentes aspetos de si próprio, identificar pessoas, lugares e aspetos que são importantes para si e para a sua cultura.</w:t>
            </w:r>
          </w:p>
          <w:p w:rsidR="00000000" w:rsidDel="00000000" w:rsidP="00000000" w:rsidRDefault="00000000" w:rsidRPr="00000000" w14:paraId="0000007F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Identificar espaços de realidades culturais diferentes (a comunidade dos outros).</w:t>
            </w:r>
          </w:p>
          <w:p w:rsidR="00000000" w:rsidDel="00000000" w:rsidP="00000000" w:rsidRDefault="00000000" w:rsidRPr="00000000" w14:paraId="00000080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Localizar no mapa alguns países de expressão inglesa.</w:t>
            </w:r>
          </w:p>
          <w:p w:rsidR="00000000" w:rsidDel="00000000" w:rsidP="00000000" w:rsidRDefault="00000000" w:rsidRPr="00000000" w14:paraId="00000081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Associar capitais e algumas cidades desses países estudados.</w:t>
            </w:r>
          </w:p>
          <w:p w:rsidR="00000000" w:rsidDel="00000000" w:rsidP="00000000" w:rsidRDefault="00000000" w:rsidRPr="00000000" w14:paraId="00000082">
            <w:pPr>
              <w:spacing w:after="0" w:befor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Reconhecer aspetos culturais de países de expressão inglesa, tais como bandeiras e símbolos nacionais.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1ºP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Literacia financeira e educação para o consumo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Aquisição e desenvolvimento de conhecimentos e capacidades para as decisões que, no presente e no futuro, tenham de tomar sobre as suas finanças pessoais, habilitando-os como consumidores.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Ação de literacia financeira “Gestão do Orçamento”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Matemática</w:t>
            </w:r>
          </w:p>
          <w:p w:rsidR="00000000" w:rsidDel="00000000" w:rsidP="00000000" w:rsidRDefault="00000000" w:rsidRPr="00000000" w14:paraId="0000008B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Cidadania e Desenvolvimento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Distinguir necessidades e desejos.</w:t>
            </w:r>
          </w:p>
          <w:p w:rsidR="00000000" w:rsidDel="00000000" w:rsidP="00000000" w:rsidRDefault="00000000" w:rsidRPr="00000000" w14:paraId="0000008D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Distinguir despesas e rendimentos.</w:t>
            </w:r>
          </w:p>
          <w:p w:rsidR="00000000" w:rsidDel="00000000" w:rsidP="00000000" w:rsidRDefault="00000000" w:rsidRPr="00000000" w14:paraId="0000008E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Elaboração de um orçamento.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1º P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Saúde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-Promover o bem-estar e a saúde individual e coletiva.</w:t>
            </w:r>
          </w:p>
          <w:p w:rsidR="00000000" w:rsidDel="00000000" w:rsidP="00000000" w:rsidRDefault="00000000" w:rsidRPr="00000000" w14:paraId="00000093">
            <w:pPr>
              <w:spacing w:after="240" w:before="24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-Promover o gosto pela prática regular de atividade física.</w:t>
            </w:r>
          </w:p>
          <w:p w:rsidR="00000000" w:rsidDel="00000000" w:rsidP="00000000" w:rsidRDefault="00000000" w:rsidRPr="00000000" w14:paraId="00000094">
            <w:pPr>
              <w:spacing w:after="0" w:before="240" w:line="276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proceder perante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comentários desagradáveis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nas redes sociais.</w:t>
            </w:r>
          </w:p>
          <w:p w:rsidR="00000000" w:rsidDel="00000000" w:rsidP="00000000" w:rsidRDefault="00000000" w:rsidRPr="00000000" w14:paraId="00000095">
            <w:pPr>
              <w:spacing w:after="0" w:before="240" w:line="276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respeitar 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códigos de conduta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6">
            <w:pPr>
              <w:spacing w:after="0" w:before="240" w:line="276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que não se devem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fotografar sessões síncronas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sem o consentimento de todos os participantes.</w:t>
            </w:r>
          </w:p>
          <w:p w:rsidR="00000000" w:rsidDel="00000000" w:rsidP="00000000" w:rsidRDefault="00000000" w:rsidRPr="00000000" w14:paraId="00000097">
            <w:pPr>
              <w:spacing w:after="0" w:before="240" w:line="276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como proceder com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marcação de encontros online com desconhecidos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8">
            <w:pPr>
              <w:spacing w:after="0" w:before="240" w:line="276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Ter consciência dos perigos devido ao alheamento causado pelo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uso sistemático do telemóvel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9">
            <w:pPr>
              <w:spacing w:after="240" w:before="24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perigos de não desligar os dados do telemóvel durante a noite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Aplicação da bateria de testes da Plataforma Fitescola®</w:t>
            </w:r>
          </w:p>
          <w:p w:rsidR="00000000" w:rsidDel="00000000" w:rsidP="00000000" w:rsidRDefault="00000000" w:rsidRPr="00000000" w14:paraId="0000009B">
            <w:pPr>
              <w:spacing w:after="240" w:before="24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Desenvolvimento das A.E. da disciplina de EDF.</w:t>
            </w:r>
          </w:p>
          <w:p w:rsidR="00000000" w:rsidDel="00000000" w:rsidP="00000000" w:rsidRDefault="00000000" w:rsidRPr="00000000" w14:paraId="0000009C">
            <w:pPr>
              <w:spacing w:after="240" w:before="24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Desenvolvimento do 2.º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Não à Violência Online.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60" w:before="24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Educação  Física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-Conhecer os processos fundamentais das adaptações morfológicas, funcionais e psicológicas, que lhe permite compreender os diversos fatores da aptidão física.</w:t>
            </w:r>
          </w:p>
          <w:p w:rsidR="00000000" w:rsidDel="00000000" w:rsidP="00000000" w:rsidRDefault="00000000" w:rsidRPr="00000000" w14:paraId="0000009F">
            <w:pPr>
              <w:spacing w:after="160" w:before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-Saúde (promoção da saúde, saúde pública, alimentação, exercício físico).</w:t>
            </w:r>
          </w:p>
          <w:p w:rsidR="00000000" w:rsidDel="00000000" w:rsidP="00000000" w:rsidRDefault="00000000" w:rsidRPr="00000000" w14:paraId="000000A0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Colaboração.</w:t>
            </w:r>
          </w:p>
          <w:p w:rsidR="00000000" w:rsidDel="00000000" w:rsidP="00000000" w:rsidRDefault="00000000" w:rsidRPr="00000000" w14:paraId="000000A1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Compreensão e expressão.</w:t>
            </w:r>
          </w:p>
          <w:p w:rsidR="00000000" w:rsidDel="00000000" w:rsidP="00000000" w:rsidRDefault="00000000" w:rsidRPr="00000000" w14:paraId="000000A2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Literacia digital.</w:t>
            </w:r>
          </w:p>
          <w:p w:rsidR="00000000" w:rsidDel="00000000" w:rsidP="00000000" w:rsidRDefault="00000000" w:rsidRPr="00000000" w14:paraId="000000A3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Participação.</w:t>
            </w:r>
          </w:p>
          <w:p w:rsidR="00000000" w:rsidDel="00000000" w:rsidP="00000000" w:rsidRDefault="00000000" w:rsidRPr="00000000" w14:paraId="000000A4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Pensamento crítico.</w:t>
            </w:r>
          </w:p>
          <w:p w:rsidR="00000000" w:rsidDel="00000000" w:rsidP="00000000" w:rsidRDefault="00000000" w:rsidRPr="00000000" w14:paraId="000000A5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Responsabilidade social.</w:t>
            </w:r>
          </w:p>
          <w:p w:rsidR="00000000" w:rsidDel="00000000" w:rsidP="00000000" w:rsidRDefault="00000000" w:rsidRPr="00000000" w14:paraId="000000A6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- Atuar perante comentários desagradáveis.</w:t>
            </w:r>
          </w:p>
          <w:p w:rsidR="00000000" w:rsidDel="00000000" w:rsidP="00000000" w:rsidRDefault="00000000" w:rsidRPr="00000000" w14:paraId="000000A7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Respeito pelos códigos de conduta.</w:t>
            </w:r>
          </w:p>
          <w:p w:rsidR="00000000" w:rsidDel="00000000" w:rsidP="00000000" w:rsidRDefault="00000000" w:rsidRPr="00000000" w14:paraId="000000A8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Autorização para fotografar sessões síncronas.</w:t>
            </w:r>
          </w:p>
          <w:p w:rsidR="00000000" w:rsidDel="00000000" w:rsidP="00000000" w:rsidRDefault="00000000" w:rsidRPr="00000000" w14:paraId="000000A9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Não marcar encontros online com desconhecidos.</w:t>
            </w:r>
          </w:p>
          <w:p w:rsidR="00000000" w:rsidDel="00000000" w:rsidP="00000000" w:rsidRDefault="00000000" w:rsidRPr="00000000" w14:paraId="000000AA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Não usar sistematicamente o telemóvel.</w:t>
            </w:r>
          </w:p>
          <w:p w:rsidR="00000000" w:rsidDel="00000000" w:rsidP="00000000" w:rsidRDefault="00000000" w:rsidRPr="00000000" w14:paraId="000000AB">
            <w:pPr>
              <w:spacing w:after="160" w:before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Desligar os dados do telemóvel durante a noite.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1ºP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140" w:before="1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Segurança Rodoviária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-Identificar comportamentos adequados e inadequados e adotar comportamentos seguros, enquanto condutor;</w:t>
            </w:r>
          </w:p>
          <w:p w:rsidR="00000000" w:rsidDel="00000000" w:rsidP="00000000" w:rsidRDefault="00000000" w:rsidRPr="00000000" w14:paraId="000000B0">
            <w:pPr>
              <w:spacing w:after="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-Analisar criticamente o ambiente rodoviário e adotar atitudes e comportamentos sociais e cívicos adequados.</w:t>
            </w:r>
          </w:p>
          <w:p w:rsidR="00000000" w:rsidDel="00000000" w:rsidP="00000000" w:rsidRDefault="00000000" w:rsidRPr="00000000" w14:paraId="000000B1">
            <w:pPr>
              <w:spacing w:after="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-Identificar os sinais de trânsito luminosos, verticais e horizontais de maior interesse para o condutor.</w:t>
            </w:r>
          </w:p>
          <w:p w:rsidR="00000000" w:rsidDel="00000000" w:rsidP="00000000" w:rsidRDefault="00000000" w:rsidRPr="00000000" w14:paraId="000000B2">
            <w:pPr>
              <w:spacing w:after="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-Conhecer as regras de condução de bicicletas.</w:t>
            </w:r>
          </w:p>
          <w:p w:rsidR="00000000" w:rsidDel="00000000" w:rsidP="00000000" w:rsidRDefault="00000000" w:rsidRPr="00000000" w14:paraId="000000B3">
            <w:pPr>
              <w:spacing w:after="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-Compreender a importância da manutenção dos veículos.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140" w:before="1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-Treinos do grupo-equipa DE Sobre Rodas - Desporto Escolar;</w:t>
            </w:r>
          </w:p>
          <w:p w:rsidR="00000000" w:rsidDel="00000000" w:rsidP="00000000" w:rsidRDefault="00000000" w:rsidRPr="00000000" w14:paraId="000000B5">
            <w:pPr>
              <w:spacing w:after="140" w:before="1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-Passeios de bicicleta em ambiente rodoviário.</w:t>
            </w:r>
          </w:p>
          <w:p w:rsidR="00000000" w:rsidDel="00000000" w:rsidP="00000000" w:rsidRDefault="00000000" w:rsidRPr="00000000" w14:paraId="000000B6">
            <w:pPr>
              <w:spacing w:after="140" w:before="1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140" w:before="1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Educação Física / Clube de Desporto Escolar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-O aluno desenvolve e aprofunda o seu conhecimento sobre o ambiente rodoviário, estabelecendo com os outros e com o meio envolvente um sistema de interações, enquanto condutor. Na medida em que se autonomiza, assume a condução como um ato de responsabilidade individual e coletiva que aconselha uma atitude moderada e defensiva.</w:t>
            </w:r>
          </w:p>
          <w:p w:rsidR="00000000" w:rsidDel="00000000" w:rsidP="00000000" w:rsidRDefault="00000000" w:rsidRPr="00000000" w14:paraId="000000B9">
            <w:pPr>
              <w:spacing w:after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-O aluno desenvolve e aprofunda o seu conhecimento sobre o ambiente rodoviário e assume-se como elemento integrante do sistema, aprendendo a conviver e a partilhar o espaço público com segurança, responsabilidade e respeito.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1ºP</w:t>
            </w:r>
          </w:p>
          <w:p w:rsidR="00000000" w:rsidDel="00000000" w:rsidP="00000000" w:rsidRDefault="00000000" w:rsidRPr="00000000" w14:paraId="000000BC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Risco/Cibersegurança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before="24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Induzir nos alunos uma política de utilização esclarecida, crítica e segura das tecnologias em geral e da Internet em particular.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before="24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Desenvolvimento do 1.º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Cibersegurança assente nas vulnerabilidades.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before="240"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- Que medidas devemos tomar se formos vítimas de uma burla quando efetuamos compras online;</w:t>
            </w:r>
          </w:p>
          <w:p w:rsidR="00000000" w:rsidDel="00000000" w:rsidP="00000000" w:rsidRDefault="00000000" w:rsidRPr="00000000" w14:paraId="000000C3">
            <w:pPr>
              <w:spacing w:after="0" w:before="240"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- A importância da utilização das VPN;</w:t>
            </w:r>
          </w:p>
          <w:p w:rsidR="00000000" w:rsidDel="00000000" w:rsidP="00000000" w:rsidRDefault="00000000" w:rsidRPr="00000000" w14:paraId="000000C4">
            <w:pPr>
              <w:spacing w:after="0" w:before="240"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- Regras para a utilização segura da Internet</w:t>
            </w:r>
          </w:p>
          <w:p w:rsidR="00000000" w:rsidDel="00000000" w:rsidP="00000000" w:rsidRDefault="00000000" w:rsidRPr="00000000" w14:paraId="000000C5">
            <w:pPr>
              <w:spacing w:after="0" w:before="240"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- Como combater o phishing, smishing e vishing;</w:t>
            </w:r>
          </w:p>
          <w:p w:rsidR="00000000" w:rsidDel="00000000" w:rsidP="00000000" w:rsidRDefault="00000000" w:rsidRPr="00000000" w14:paraId="000000C6">
            <w:pPr>
              <w:spacing w:after="0" w:before="240"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- Cifrar dados ou criar pastas de acesso restrito em ficheiros que contenham informação sensível e dados pessoais.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1.º Período letivo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C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SAÚDE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="276" w:lineRule="auto"/>
              <w:ind w:left="10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Tomada de consciência da importância dos cuidados a ter com as cordas vocais – a voz.</w:t>
            </w:r>
          </w:p>
          <w:p w:rsidR="00000000" w:rsidDel="00000000" w:rsidP="00000000" w:rsidRDefault="00000000" w:rsidRPr="00000000" w14:paraId="000000D2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Desenvolvimento de uma postura corporal correta para cantar</w:t>
            </w:r>
          </w:p>
          <w:p w:rsidR="00000000" w:rsidDel="00000000" w:rsidP="00000000" w:rsidRDefault="00000000" w:rsidRPr="00000000" w14:paraId="000000D3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Interpretação de peças musicais corais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B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Educação Musical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Cantar, a solo e em grupo, a uma e duas vozes, repertório variado com e sem acompanhamento instrumental, evidenciando confiança e domínio básico da técnica vocal.- Interpretar, através do movimento corporal, contextos musicais contrastantes.</w:t>
            </w:r>
          </w:p>
          <w:p w:rsidR="00000000" w:rsidDel="00000000" w:rsidP="00000000" w:rsidRDefault="00000000" w:rsidRPr="00000000" w14:paraId="000000DF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Cria produtos artísticos diversificados (instalações sonoras,  concertos, teatros musicais, espetáculos multimédia...),  articulando a música com outras formas de arte e utilizando  diferentes formas de produção musical.</w:t>
            </w:r>
          </w:p>
          <w:p w:rsidR="00000000" w:rsidDel="00000000" w:rsidP="00000000" w:rsidRDefault="00000000" w:rsidRPr="00000000" w14:paraId="000000E0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Apresentar publicamente atividades artísticas em que se  articula a música com outras áreas do conhecimento.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1ºPeríodo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after="0" w:before="24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Domínios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(n.º 2 do artigo 11.º da Portaria 223-A/2018)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Direitos Humanos; Igualdade de Género; Interculturalidade; Desenvolvimento Sustentável; Educação Ambiental; Saúde.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Sexualidade; Media; Instituições e participação democrática; Literacia financeira e educação para o consumo; Segurança Rodoviária; Risco;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Empreendedorismo; Mundo do trabalho; Segurança, defesa e paz; Bem-estar animal; Voluntariado.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Objetivos: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são selecionados de entre os que constam dos referenciais de cada domínio, quando existam – disponíveis 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https://cidadania.dge.mec.pt/documentos-referencia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7">
      <w:pPr>
        <w:spacing w:after="0" w:before="12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– Aprendizagens essenciais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aquelas que estão definidas nas planificações das disciplinas.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Pedrógão Grande, ___ de dezembro de 2024</w:t>
      </w:r>
    </w:p>
    <w:p w:rsidR="00000000" w:rsidDel="00000000" w:rsidP="00000000" w:rsidRDefault="00000000" w:rsidRPr="00000000" w14:paraId="000000F9">
      <w:pPr>
        <w:spacing w:after="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O(A) Professor(a)/Diretor(a) de Turma: Eunice Reis</w:t>
      </w:r>
    </w:p>
    <w:sectPr>
      <w:headerReference r:id="rId9" w:type="default"/>
      <w:headerReference r:id="rId10" w:type="first"/>
      <w:footerReference r:id="rId11" w:type="default"/>
      <w:pgSz w:h="11905" w:w="16837" w:orient="landscape"/>
      <w:pgMar w:bottom="720" w:top="720" w:left="720" w:right="720" w:header="34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24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ESTRATÉGIA DE EDUCAÇÃO PARA A CIDADANIA 202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/202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BALANÇO DO _1º__PERÍODO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888.0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18"/>
      <w:gridCol w:w="4961"/>
      <w:gridCol w:w="2409"/>
      <w:tblGridChange w:id="0">
        <w:tblGrid>
          <w:gridCol w:w="2518"/>
          <w:gridCol w:w="4961"/>
          <w:gridCol w:w="2409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0FE">
          <w:pPr>
            <w:spacing w:after="0" w:line="240" w:lineRule="auto"/>
            <w:ind w:left="720" w:firstLine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11431</wp:posOffset>
                </wp:positionH>
                <wp:positionV relativeFrom="paragraph">
                  <wp:posOffset>128270</wp:posOffset>
                </wp:positionV>
                <wp:extent cx="1335405" cy="573405"/>
                <wp:effectExtent b="0" l="0" r="0" t="0"/>
                <wp:wrapSquare wrapText="bothSides" distB="0" distT="0" distL="114300" distR="114300"/>
                <wp:docPr id="40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0FF">
          <w:pPr>
            <w:spacing w:after="0" w:line="240" w:lineRule="auto"/>
            <w:ind w:left="720" w:firstLine="0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0">
          <w:pPr>
            <w:spacing w:after="0" w:line="240" w:lineRule="auto"/>
            <w:ind w:left="-108" w:right="-108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Agrupamento de Escolas de Pedrógão Grande</w:t>
          </w:r>
        </w:p>
        <w:p w:rsidR="00000000" w:rsidDel="00000000" w:rsidP="00000000" w:rsidRDefault="00000000" w:rsidRPr="00000000" w14:paraId="00000101">
          <w:pPr>
            <w:spacing w:after="0" w:line="240" w:lineRule="auto"/>
            <w:ind w:left="720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Escola Básica Miguel Leitão de Andrada</w:t>
          </w:r>
        </w:p>
        <w:p w:rsidR="00000000" w:rsidDel="00000000" w:rsidP="00000000" w:rsidRDefault="00000000" w:rsidRPr="00000000" w14:paraId="00000102">
          <w:pPr>
            <w:spacing w:after="0" w:line="240" w:lineRule="auto"/>
            <w:ind w:left="720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Tel: 236 486 267</w:t>
          </w:r>
        </w:p>
        <w:p w:rsidR="00000000" w:rsidDel="00000000" w:rsidP="00000000" w:rsidRDefault="00000000" w:rsidRPr="00000000" w14:paraId="00000103">
          <w:pPr>
            <w:spacing w:after="0" w:line="240" w:lineRule="auto"/>
            <w:ind w:left="360" w:firstLine="0"/>
            <w:jc w:val="center"/>
            <w:rPr/>
          </w:pPr>
          <w:r w:rsidDel="00000000" w:rsidR="00000000" w:rsidRPr="00000000">
            <w:rPr>
              <w:sz w:val="22"/>
              <w:szCs w:val="22"/>
              <w:rtl w:val="0"/>
            </w:rPr>
            <w:t xml:space="preserve">Mail: geral</w:t>
          </w:r>
          <w:r w:rsidDel="00000000" w:rsidR="00000000" w:rsidRPr="00000000">
            <w:rPr>
              <w:rFonts w:ascii="Andalus" w:cs="Andalus" w:eastAsia="Andalus" w:hAnsi="Andalus"/>
              <w:sz w:val="22"/>
              <w:szCs w:val="22"/>
              <w:rtl w:val="0"/>
            </w:rPr>
            <w:t xml:space="preserve">@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agpedrogao.pt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104">
          <w:pPr>
            <w:spacing w:after="0" w:line="240" w:lineRule="auto"/>
            <w:ind w:left="720" w:firstLine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5">
          <w:pPr>
            <w:spacing w:after="0" w:line="240" w:lineRule="auto"/>
            <w:ind w:left="-108" w:firstLine="0"/>
            <w:rPr/>
          </w:pPr>
          <w:r w:rsidDel="00000000" w:rsidR="00000000" w:rsidRPr="00000000">
            <w:rPr/>
            <w:drawing>
              <wp:inline distB="0" distT="0" distL="0" distR="0">
                <wp:extent cx="1466850" cy="733425"/>
                <wp:effectExtent b="0" l="0" r="0" t="0"/>
                <wp:docPr descr="Cores_FundoBranco_semAssinatura_Leve" id="404" name="image4.jpg"/>
                <a:graphic>
                  <a:graphicData uri="http://schemas.openxmlformats.org/drawingml/2006/picture">
                    <pic:pic>
                      <pic:nvPicPr>
                        <pic:cNvPr descr="Cores_FundoBranco_semAssinatura_Leve" id="0" name="image4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Matrículas e Atualização processos dos alunos - 2018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03F9C"/>
    <w:pPr>
      <w:spacing w:after="200" w:line="276" w:lineRule="auto"/>
    </w:pPr>
    <w:rPr>
      <w:color w:val="000000"/>
      <w:kern w:val="36"/>
      <w:sz w:val="24"/>
      <w:szCs w:val="24"/>
      <w:lang w:eastAsia="en-US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elha">
    <w:name w:val="Table Grid"/>
    <w:basedOn w:val="Tabelanormal"/>
    <w:uiPriority w:val="59"/>
    <w:rsid w:val="00203F9C"/>
    <w:rPr>
      <w:bCs w:val="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gao">
    <w:name w:val="Hyperlink"/>
    <w:uiPriority w:val="99"/>
    <w:unhideWhenUsed w:val="1"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E16227"/>
    <w:pPr>
      <w:ind w:left="720"/>
      <w:contextualSpacing w:val="1"/>
    </w:pPr>
    <w:rPr>
      <w:rFonts w:ascii="Calibri" w:cs="Times New Roman" w:hAnsi="Calibri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 w:val="1"/>
    <w:rsid w:val="006353E1"/>
    <w:pPr>
      <w:tabs>
        <w:tab w:val="center" w:pos="4252"/>
        <w:tab w:val="right" w:pos="8504"/>
      </w:tabs>
    </w:pPr>
  </w:style>
  <w:style w:type="character" w:styleId="CabealhoCarcter" w:customStyle="1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 w:val="1"/>
    <w:rsid w:val="006353E1"/>
    <w:pPr>
      <w:tabs>
        <w:tab w:val="center" w:pos="4252"/>
        <w:tab w:val="right" w:pos="8504"/>
      </w:tabs>
    </w:pPr>
  </w:style>
  <w:style w:type="character" w:styleId="RodapCarcter" w:customStyle="1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6353E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arcter" w:customStyle="1">
    <w:name w:val="Texto de balão Carácter"/>
    <w:link w:val="Textodebalo"/>
    <w:uiPriority w:val="99"/>
    <w:semiHidden w:val="1"/>
    <w:rsid w:val="006353E1"/>
    <w:rPr>
      <w:rFonts w:ascii="Tahoma" w:cs="Tahoma" w:hAnsi="Tahoma"/>
      <w:color w:val="000000"/>
      <w:kern w:val="36"/>
      <w:sz w:val="16"/>
      <w:szCs w:val="16"/>
      <w:lang w:eastAsia="en-US"/>
    </w:rPr>
  </w:style>
  <w:style w:type="paragraph" w:styleId="Default" w:customStyle="1">
    <w:name w:val="Default"/>
    <w:rsid w:val="00285AD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RodapCarter" w:customStyle="1">
    <w:name w:val="Rodapé Caráter"/>
    <w:basedOn w:val="Tipodeletrapredefinidodopargrafo"/>
    <w:uiPriority w:val="99"/>
    <w:rsid w:val="00E856B3"/>
  </w:style>
  <w:style w:type="paragraph" w:styleId="TableParagraph" w:customStyle="1">
    <w:name w:val="Table Paragraph"/>
    <w:basedOn w:val="Normal"/>
    <w:uiPriority w:val="1"/>
    <w:qFormat w:val="1"/>
    <w:rsid w:val="00740667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color w:val="auto"/>
      <w:kern w:val="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69Xc5obVW2LrN9TYrsEkw/UoWQ==">CgMxLjAyCGguZ2pkZ3hzOAByITFTdmtBaHBkWUhGZnNGLTR0aEx3VVB4MTVyb0hjUlBfNg==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2024-12-16T20:37:00Z</dcterms:created>
  <dc:creator>Cristina</dc:creator>
</cp:coreProperties>
</file>