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6651BF">
        <w:rPr>
          <w:b/>
          <w:sz w:val="28"/>
          <w:szCs w:val="28"/>
        </w:rPr>
        <w:t>2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B8305B">
        <w:rPr>
          <w:u w:val="single"/>
        </w:rPr>
        <w:t>9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263ECD" w:rsidRPr="00D01425" w:rsidTr="0018587F">
        <w:tc>
          <w:tcPr>
            <w:tcW w:w="1900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97EE3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Perceber o que é a </w:t>
            </w:r>
            <w:r w:rsidRPr="00A97EE3">
              <w:rPr>
                <w:b/>
                <w:sz w:val="18"/>
                <w:szCs w:val="18"/>
              </w:rPr>
              <w:t xml:space="preserve">Publicidade, </w:t>
            </w:r>
            <w:r w:rsidRPr="00A97EE3">
              <w:rPr>
                <w:sz w:val="18"/>
                <w:szCs w:val="18"/>
              </w:rPr>
              <w:t>qual a sua definição e objetivos.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Saber onde se encontra publicidade, ou seja quais os </w:t>
            </w:r>
            <w:r w:rsidRPr="00A97EE3">
              <w:rPr>
                <w:b/>
                <w:sz w:val="18"/>
                <w:szCs w:val="18"/>
              </w:rPr>
              <w:t>Media</w:t>
            </w:r>
            <w:r w:rsidRPr="00A97EE3">
              <w:rPr>
                <w:sz w:val="18"/>
                <w:szCs w:val="18"/>
              </w:rPr>
              <w:t xml:space="preserve"> que a difundem e como deve ser encarada.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Como somos influenciados pela publicidade e como devemos reagir.</w:t>
            </w:r>
          </w:p>
        </w:tc>
        <w:tc>
          <w:tcPr>
            <w:tcW w:w="1924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Desenvolvimento do 2.º </w:t>
            </w:r>
            <w:r w:rsidRPr="00A97EE3">
              <w:rPr>
                <w:b/>
                <w:sz w:val="18"/>
                <w:szCs w:val="18"/>
              </w:rPr>
              <w:t>Desafio Seguranet</w:t>
            </w:r>
            <w:r w:rsidRPr="00A97EE3">
              <w:rPr>
                <w:sz w:val="18"/>
                <w:szCs w:val="18"/>
              </w:rPr>
              <w:t xml:space="preserve"> sobre </w:t>
            </w:r>
            <w:r w:rsidRPr="00A97EE3">
              <w:rPr>
                <w:b/>
                <w:sz w:val="18"/>
                <w:szCs w:val="18"/>
              </w:rPr>
              <w:t>Publicidade nos Media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Colaboração.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Compreensão e expressão.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Literacia digital.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Participação.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Pensamento crítico.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Responsabilidade social.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 - Distinguir os diferentes tipos de publicidade.</w:t>
            </w:r>
          </w:p>
        </w:tc>
        <w:tc>
          <w:tcPr>
            <w:tcW w:w="1780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97EE3">
              <w:rPr>
                <w:sz w:val="18"/>
                <w:szCs w:val="18"/>
              </w:rPr>
              <w:t>.º Período letivo</w:t>
            </w:r>
          </w:p>
        </w:tc>
      </w:tr>
      <w:tr w:rsidR="00017624" w:rsidRPr="00D01425" w:rsidTr="0018587F">
        <w:tc>
          <w:tcPr>
            <w:tcW w:w="190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 w:rsidRPr="001962C9">
              <w:rPr>
                <w:b/>
                <w:sz w:val="18"/>
                <w:szCs w:val="18"/>
              </w:rPr>
              <w:t>Influenciador Digital</w:t>
            </w:r>
            <w:r>
              <w:rPr>
                <w:sz w:val="18"/>
                <w:szCs w:val="18"/>
              </w:rPr>
              <w:t xml:space="preserve"> e como se classificam.</w:t>
            </w:r>
          </w:p>
          <w:p w:rsidR="00017624" w:rsidRPr="0031296F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Induzir nos alunos</w:t>
            </w:r>
            <w:r w:rsidRPr="00672301">
              <w:rPr>
                <w:sz w:val="18"/>
                <w:szCs w:val="18"/>
              </w:rPr>
              <w:t xml:space="preserve"> uma política de utilização esclarecida, crítica e segura das tecnologias em geral e da Internet em particular</w:t>
            </w:r>
            <w:r>
              <w:rPr>
                <w:sz w:val="18"/>
                <w:szCs w:val="18"/>
              </w:rPr>
              <w:t xml:space="preserve">, com especial ênfase no esclarecimento das funções e objetivos dos </w:t>
            </w:r>
            <w:r w:rsidRPr="00BC62CD">
              <w:rPr>
                <w:b/>
                <w:sz w:val="18"/>
                <w:szCs w:val="18"/>
              </w:rPr>
              <w:t xml:space="preserve">Influenciadores </w:t>
            </w:r>
            <w:r>
              <w:rPr>
                <w:b/>
                <w:sz w:val="18"/>
                <w:szCs w:val="18"/>
              </w:rPr>
              <w:t>D</w:t>
            </w:r>
            <w:r w:rsidRPr="00BC62CD">
              <w:rPr>
                <w:b/>
                <w:sz w:val="18"/>
                <w:szCs w:val="18"/>
              </w:rPr>
              <w:t>igitais</w:t>
            </w:r>
            <w:r>
              <w:rPr>
                <w:sz w:val="18"/>
                <w:szCs w:val="18"/>
              </w:rPr>
              <w:t xml:space="preserve"> e das vantagens e inconvenientes para os seus seguidores.</w:t>
            </w:r>
          </w:p>
        </w:tc>
        <w:tc>
          <w:tcPr>
            <w:tcW w:w="1924" w:type="dxa"/>
            <w:vAlign w:val="center"/>
          </w:tcPr>
          <w:p w:rsidR="00017624" w:rsidRPr="0031296F" w:rsidRDefault="00017624" w:rsidP="00017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3.º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Pr="00C65221">
              <w:rPr>
                <w:b/>
                <w:sz w:val="18"/>
                <w:szCs w:val="18"/>
              </w:rPr>
              <w:t>Influenciadores Digitais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Distinção entre influenciadores digitais fiáveis e não fiáveis.</w:t>
            </w:r>
          </w:p>
        </w:tc>
        <w:tc>
          <w:tcPr>
            <w:tcW w:w="178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29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B74570" w:rsidRPr="00D01425" w:rsidTr="0018587F">
        <w:tc>
          <w:tcPr>
            <w:tcW w:w="1900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e como se manifesta: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1.ato ou efeito de desinformar, de informar de forma errada ou enganadora;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2.utilização das técnicas de informação para induzir em erro ou esconder </w:t>
            </w:r>
            <w:proofErr w:type="gramStart"/>
            <w:r>
              <w:rPr>
                <w:sz w:val="18"/>
                <w:szCs w:val="18"/>
              </w:rPr>
              <w:t>certo(s</w:t>
            </w:r>
            <w:proofErr w:type="gramEnd"/>
            <w:r>
              <w:rPr>
                <w:sz w:val="18"/>
                <w:szCs w:val="18"/>
              </w:rPr>
              <w:t>) facto(s);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3.informação falsa, geralmente dada com o objetivo de confundir ou enganar;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4.falta de informação; desconhecimento; ignorância.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24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Desenvolvimento do 4.º </w:t>
            </w:r>
            <w:r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Saber distinguir entre </w:t>
            </w:r>
            <w:r>
              <w:rPr>
                <w:sz w:val="18"/>
                <w:szCs w:val="18"/>
              </w:rPr>
              <w:lastRenderedPageBreak/>
              <w:t xml:space="preserve">Informação fiável 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(vulgo </w:t>
            </w:r>
            <w:proofErr w:type="spellStart"/>
            <w:r>
              <w:rPr>
                <w:i/>
                <w:sz w:val="18"/>
                <w:szCs w:val="18"/>
              </w:rPr>
              <w:t>fake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news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6651BF">
        <w:t>30</w:t>
      </w:r>
      <w:r>
        <w:t xml:space="preserve"> de </w:t>
      </w:r>
      <w:proofErr w:type="spellStart"/>
      <w:r w:rsidR="006651BF">
        <w:t>março</w:t>
      </w:r>
      <w:proofErr w:type="spellEnd"/>
      <w:r>
        <w:t xml:space="preserve"> de 20</w:t>
      </w:r>
      <w:r w:rsidR="00BB65F5">
        <w:t>2</w:t>
      </w:r>
      <w:r w:rsidR="006651BF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85" w:rsidRDefault="00E87E85" w:rsidP="006D756C">
      <w:pPr>
        <w:spacing w:after="0" w:line="240" w:lineRule="auto"/>
      </w:pPr>
      <w:r>
        <w:separator/>
      </w:r>
    </w:p>
  </w:endnote>
  <w:endnote w:type="continuationSeparator" w:id="0">
    <w:p w:rsidR="00E87E85" w:rsidRDefault="00E87E85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85" w:rsidRDefault="00E87E85" w:rsidP="006D756C">
      <w:pPr>
        <w:spacing w:after="0" w:line="240" w:lineRule="auto"/>
      </w:pPr>
      <w:r>
        <w:separator/>
      </w:r>
    </w:p>
  </w:footnote>
  <w:footnote w:type="continuationSeparator" w:id="0">
    <w:p w:rsidR="00E87E85" w:rsidRDefault="00E87E85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  <w:fldChar w:fldCharType="begin"/>
                          </w:r>
                          <w:r w:rsidR="006D756C">
                            <w:instrText>PAGE  \* MERGEFORMAT</w:instrText>
                          </w:r>
                          <w:r w:rsidRPr="006D3211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FF45F8" w:rsidRPr="00FF45F8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  <w:fldChar w:fldCharType="begin"/>
                    </w:r>
                    <w:r w:rsidR="006D756C">
                      <w:instrText>PAGE  \* MERGEFORMAT</w:instrText>
                    </w:r>
                    <w:r w:rsidRPr="006D3211">
                      <w:rPr>
                        <w:rFonts w:eastAsia="Times New Roman"/>
                      </w:rPr>
                      <w:fldChar w:fldCharType="separate"/>
                    </w:r>
                    <w:r w:rsidR="00FF45F8" w:rsidRPr="00FF45F8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17624"/>
    <w:rsid w:val="00041004"/>
    <w:rsid w:val="00072E9B"/>
    <w:rsid w:val="000E4AD6"/>
    <w:rsid w:val="001653AF"/>
    <w:rsid w:val="00165B05"/>
    <w:rsid w:val="00174408"/>
    <w:rsid w:val="0018587F"/>
    <w:rsid w:val="001962C9"/>
    <w:rsid w:val="001A45AA"/>
    <w:rsid w:val="001C6508"/>
    <w:rsid w:val="001F4A8A"/>
    <w:rsid w:val="002005A4"/>
    <w:rsid w:val="00261BF6"/>
    <w:rsid w:val="00263ECD"/>
    <w:rsid w:val="00267389"/>
    <w:rsid w:val="002C4B16"/>
    <w:rsid w:val="002C6A0E"/>
    <w:rsid w:val="002F07AF"/>
    <w:rsid w:val="0030797D"/>
    <w:rsid w:val="0031296F"/>
    <w:rsid w:val="00340DE3"/>
    <w:rsid w:val="0036047C"/>
    <w:rsid w:val="00363243"/>
    <w:rsid w:val="0040162E"/>
    <w:rsid w:val="004D0355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164BE"/>
    <w:rsid w:val="006651BF"/>
    <w:rsid w:val="00672301"/>
    <w:rsid w:val="00674688"/>
    <w:rsid w:val="00695363"/>
    <w:rsid w:val="006D3211"/>
    <w:rsid w:val="006D756C"/>
    <w:rsid w:val="00707FFE"/>
    <w:rsid w:val="00750843"/>
    <w:rsid w:val="00772276"/>
    <w:rsid w:val="00792350"/>
    <w:rsid w:val="007A1ED7"/>
    <w:rsid w:val="007B27AF"/>
    <w:rsid w:val="007E7F54"/>
    <w:rsid w:val="00800C28"/>
    <w:rsid w:val="00810243"/>
    <w:rsid w:val="00812D65"/>
    <w:rsid w:val="008B3F08"/>
    <w:rsid w:val="008B4FF6"/>
    <w:rsid w:val="008F58DB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469A5"/>
    <w:rsid w:val="00B74570"/>
    <w:rsid w:val="00B8305B"/>
    <w:rsid w:val="00B91A74"/>
    <w:rsid w:val="00BA4B76"/>
    <w:rsid w:val="00BB65F5"/>
    <w:rsid w:val="00BC62CD"/>
    <w:rsid w:val="00C15230"/>
    <w:rsid w:val="00C23FD8"/>
    <w:rsid w:val="00C32CF7"/>
    <w:rsid w:val="00C65221"/>
    <w:rsid w:val="00C712E8"/>
    <w:rsid w:val="00CA0B16"/>
    <w:rsid w:val="00CE4097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83016"/>
    <w:rsid w:val="00E87E85"/>
    <w:rsid w:val="00EA3E7B"/>
    <w:rsid w:val="00EC1E67"/>
    <w:rsid w:val="00EF5095"/>
    <w:rsid w:val="00F13F78"/>
    <w:rsid w:val="00F308A1"/>
    <w:rsid w:val="00F43476"/>
    <w:rsid w:val="00F564D8"/>
    <w:rsid w:val="00F87382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dadania.dge.mec.pt/documentos-referenc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EEC6-FA5D-4A29-8FC7-7C0840BE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3502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3</cp:revision>
  <dcterms:created xsi:type="dcterms:W3CDTF">2021-04-09T13:34:00Z</dcterms:created>
  <dcterms:modified xsi:type="dcterms:W3CDTF">2021-04-09T13:35:00Z</dcterms:modified>
</cp:coreProperties>
</file>