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6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6" name="image5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2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9.º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2950"/>
        <w:gridCol w:w="1439"/>
        <w:gridCol w:w="2050"/>
        <w:gridCol w:w="2062"/>
        <w:gridCol w:w="1812"/>
        <w:gridCol w:w="2335"/>
        <w:tblGridChange w:id="0">
          <w:tblGrid>
            <w:gridCol w:w="1948"/>
            <w:gridCol w:w="2950"/>
            <w:gridCol w:w="1439"/>
            <w:gridCol w:w="2050"/>
            <w:gridCol w:w="2062"/>
            <w:gridCol w:w="1812"/>
            <w:gridCol w:w="23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Segurança, Defesa e Paz – As forças armadas e as forças e serviços de segurança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que as Forças Armadas desempenham em prol de Portugal, dos portugueses e da segurança internacional.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das Forças de Segurança.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dos Serviços de Segurança.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Construção de esquemas concetuais;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Jogo Kahoot;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Entrevista a um(a) representante das forças armadas ou das forças ou dos serviços de segurança.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que as Forças Armadas desempenham em prol de Portugal, dos portugueses e da segurança internacional.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das Forças de Segurança.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organização e as missões dos Serviços de Segurança.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Mundo do trabalho – Refletir sobre o trabalho digno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o conceito de trabalho digno.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que o trabalho digno é um impulso ao desenvolvimento sustentável.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reportagens (RTP Ensina) e debates.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o conceito de trabalho digno.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que o trabalho digno é um impulso ao desenvolvimento sustentável.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– Atividade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Participar de forma ativa e crítica na construção da Agenda da Juventude para a Saúde na próxima década: 2020-30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de ideias para estabelecimento de prioridades das crianças e jovens para esta temática (produção de um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definir medidas de promoção da saúde do indivíduo com base num ambiente mais saudável.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DGE/CNS (Dia Mundial da Saúde e Agenda da Juventude para a Saúde na próxima década: 2020-30)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2C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2865"/>
        <w:gridCol w:w="1770"/>
        <w:gridCol w:w="1740"/>
        <w:gridCol w:w="2085"/>
        <w:gridCol w:w="1824"/>
        <w:gridCol w:w="2368"/>
        <w:tblGridChange w:id="0">
          <w:tblGrid>
            <w:gridCol w:w="1943"/>
            <w:gridCol w:w="2865"/>
            <w:gridCol w:w="1770"/>
            <w:gridCol w:w="1740"/>
            <w:gridCol w:w="2085"/>
            <w:gridCol w:w="1824"/>
            <w:gridCol w:w="236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– Educação alimentar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como as questões sociais, culturais e económicas influenciam os consumos alimentares;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a Dieta Mediterrânica como exemplo das diferentes influências socioculturais sobre o consumo alimentar;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a alimentação como um dos principais determinantes da saúde.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dos temas “Alimentação saudável” e “Alimentação e prevenção de doenças”.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importância de uma alimentação saudável no equilíbrio do organismo humano.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Sintetizar as estratégias de promoção da saúde.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Relacionar a ascensão ao poder de partidos totalitários com as dificuldades económicas e sociais.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do contexto em que ocorreu a subida ao poder dos partidos totalitários durante as décadas 20 e 30 do século XX.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os conceitos: Fascismo; Corporativismo; Nazismo; Totalitarismo; Antissemitismo; Estado Novo; Economia planificada; Coletivização; Culto da personalidade; Frente Popular; New Deal 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hd w:fill="d9d9d9" w:val="clear"/>
              <w:spacing w:line="276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Sustentável;</w:t>
            </w:r>
          </w:p>
          <w:p w:rsidR="00000000" w:rsidDel="00000000" w:rsidP="00000000" w:rsidRDefault="00000000" w:rsidRPr="00000000" w14:paraId="0000004E">
            <w:pPr>
              <w:shd w:fill="d9d9d9" w:val="clear"/>
              <w:spacing w:line="276" w:lineRule="auto"/>
              <w:ind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Educação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Ganhar consciência da importância de se poupar energia.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problemas sociais e ambientais pelo gasto descontrolado de energia elétrica.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Pesquisar as consequências do gasto descontrolado de energia elétrica.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Determinar o gasto energético de vários aparelhos.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 consciência da importância de poupar energia.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as grandezas elétricas usadas para determinar o gasto de energia.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alguns problemas ambientais que podem causar os restos dos aparelhos elétricos, pilhas,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Segurança Defesa e Paz/ Direitos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Evidenciar o respeito pelas diferenças dos indivíduos e igualdade de direitos de povos e nações no complexo quadro em que se manifestam os interesses políticos, diplomáticos, territoriais, económicos ou outros, à escala nacional, regional ou mundial.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de informação, elaboração de trabalhos individuais e dinamização de um Padlet sobre a ONU.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e/ou aprofundar o conhecimento sobre organizações de solidariedade e cooperação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qual a sua definição e objetivos.</w:t>
            </w:r>
          </w:p>
          <w:p w:rsidR="00000000" w:rsidDel="00000000" w:rsidP="00000000" w:rsidRDefault="00000000" w:rsidRPr="00000000" w14:paraId="0000008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onde se encontra publicidade, ou seja quais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que a difundem e como deve ser encarada.</w:t>
            </w:r>
          </w:p>
          <w:p w:rsidR="00000000" w:rsidDel="00000000" w:rsidP="00000000" w:rsidRDefault="00000000" w:rsidRPr="00000000" w14:paraId="0000008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Como somos influenciados pela publicidade e como devemos reagir.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2.º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 nos 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8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8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8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Distinguir os diferentes tipos de publicidade.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classificam.</w:t>
            </w:r>
          </w:p>
          <w:p w:rsidR="00000000" w:rsidDel="00000000" w:rsidP="00000000" w:rsidRDefault="00000000" w:rsidRPr="00000000" w14:paraId="0000009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no esclarecimento das funções e objetivos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das vantagens e inconvenientes para os seus seguidores.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3.º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9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9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Distinção entre influenciadores digitais fiáveis e não fiáveis.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manifesta:</w:t>
            </w:r>
          </w:p>
          <w:p w:rsidR="00000000" w:rsidDel="00000000" w:rsidP="00000000" w:rsidRDefault="00000000" w:rsidRPr="00000000" w14:paraId="0000009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1.ato ou efeito de desinformar, de informar de forma errada ou enganadora;</w:t>
            </w:r>
          </w:p>
          <w:p w:rsidR="00000000" w:rsidDel="00000000" w:rsidP="00000000" w:rsidRDefault="00000000" w:rsidRPr="00000000" w14:paraId="000000A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2.utilização das técnicas de informação para induzir em erro ou esconder certo(s) facto(s);</w:t>
            </w:r>
          </w:p>
          <w:p w:rsidR="00000000" w:rsidDel="00000000" w:rsidP="00000000" w:rsidRDefault="00000000" w:rsidRPr="00000000" w14:paraId="000000A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3.informação falsa, geralmente dada com o objetivo de confundir ou enganar;</w:t>
            </w:r>
          </w:p>
          <w:p w:rsidR="00000000" w:rsidDel="00000000" w:rsidP="00000000" w:rsidRDefault="00000000" w:rsidRPr="00000000" w14:paraId="000000A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4.falta de informação; desconhecimento; ignorância.</w:t>
            </w:r>
          </w:p>
          <w:p w:rsidR="00000000" w:rsidDel="00000000" w:rsidP="00000000" w:rsidRDefault="00000000" w:rsidRPr="00000000" w14:paraId="000000A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4.º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Saber distinguir entre Informação fiável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(vulgo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fake news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C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373.0000000000005"/>
        <w:gridCol w:w="1971.9999999999995"/>
        <w:gridCol w:w="2087"/>
        <w:gridCol w:w="1825"/>
        <w:gridCol w:w="2370"/>
        <w:tblGridChange w:id="0">
          <w:tblGrid>
            <w:gridCol w:w="1944"/>
            <w:gridCol w:w="3023"/>
            <w:gridCol w:w="1373.0000000000005"/>
            <w:gridCol w:w="1971.9999999999995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Fonador</w:t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Auditivo</w:t>
            </w:r>
          </w:p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 cuidados a ter com as cordas vocais – a voz.</w:t>
            </w:r>
          </w:p>
          <w:p w:rsidR="00000000" w:rsidDel="00000000" w:rsidP="00000000" w:rsidRDefault="00000000" w:rsidRPr="00000000" w14:paraId="000000D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ouvido humano.</w:t>
            </w:r>
          </w:p>
          <w:p w:rsidR="00000000" w:rsidDel="00000000" w:rsidP="00000000" w:rsidRDefault="00000000" w:rsidRPr="00000000" w14:paraId="000000D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sobre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correta utilização dos auriculares/auscultadores e problemas auditivos.</w:t>
            </w:r>
          </w:p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das capacidades motoras através da interpretação do movimento corporal em contexto musical.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corais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 e aperfeiçoa a prática vocal.</w:t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 e aperfeiçoa a utilização de auriculares e/ou auscultadores</w:t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evitando problemas auditivos.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"/>
                <w:szCs w:val="2"/>
                <w:rtl w:val="0"/>
              </w:rPr>
              <w:t xml:space="preserve"> --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Igualdade de género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 IDG como indicador complementar de desenvolvimento humano</w:t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Análise da distribuição do IDG no mundo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Análise de cartografia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-Visionamento de um documentário</w:t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Reflexão conjunta sobre a 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ind w:left="141.7322834645671" w:hanging="855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a importância do IDG na análise do desenvolvimento humano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ind w:left="141.7322834645671" w:hanging="855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ind w:left="141.7322834645671" w:hanging="72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países com IDG muito diferentes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1B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1D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1E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1F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Pedrógão Grande, 29 de março de 2021.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Diretor(a) de Turma: Alice Mateus</w:t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rQ+u9rBgmrloEVgbqk0BuMWnw==">AMUW2mX+bu18JvdQqG0ay1EhgvhS8WtqlwenhIuUo6vsES1CBmoU7q8BngJutTPdkoLVu607N8/7MvzYCD3JQ2t3+uoxk0FAt9qgJ6mJYxGFLgJ5Ianf0KU=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2021-03-28T14:27:00Z</dcterms:created>
  <dc:creator>João Pires</dc:creator>
</cp:coreProperties>
</file>