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7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7" name="image4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1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 Ciclo: </w:t>
      </w: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8.º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3000"/>
        <w:gridCol w:w="105"/>
        <w:gridCol w:w="1395"/>
        <w:gridCol w:w="1995"/>
        <w:gridCol w:w="105"/>
        <w:gridCol w:w="2010"/>
        <w:gridCol w:w="105"/>
        <w:gridCol w:w="1815"/>
        <w:gridCol w:w="105"/>
        <w:gridCol w:w="2355"/>
        <w:tblGridChange w:id="0">
          <w:tblGrid>
            <w:gridCol w:w="2355"/>
            <w:gridCol w:w="3000"/>
            <w:gridCol w:w="105"/>
            <w:gridCol w:w="1395"/>
            <w:gridCol w:w="1995"/>
            <w:gridCol w:w="105"/>
            <w:gridCol w:w="2010"/>
            <w:gridCol w:w="105"/>
            <w:gridCol w:w="1815"/>
            <w:gridCol w:w="105"/>
            <w:gridCol w:w="23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respeito pela diversidade humana e cultural e agir de acordo com os princípios dos direitos humanos; negociar a solução de conflitos em prol da solidariedade e da sustentabilidade ecológica; ser interventivo, tomando a iniciativa e sendo empreendedor;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 com tolerância, empatia e responsabilidade e argumentar, negociar e aceitar diferentes pontos de vista, desenvolvendo novas formas de estar, olhar e participar na sociedade.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DAC “Can we save our Planet?”: elaboração de textos de apresentação pessoal; criação de um vídeo com as apresentações pessoais.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realidades interculturais distintas; conhecer e descrever temas da atualidade; identificar problemas ambientais e soluções possíveis; descrever, de forma sumária, tradições do seu meio cultural; reconhecer a diversidade como uma oportunidade de aprendizagem para todos.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Não foram trabalhados domínios e temas da EEC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 para a Sustentabilidade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Território e Paisagem; Biodiversidade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Caracterizar paisagens no espaço e no tempo tendo em conta o património.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as espécies animais e vegetais mais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emblemáticas no território nacional.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de uma área próxima da escola com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caderno de campo.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Caracterizar um ecossistema na zona envolvente da escola a partir de dados recolhidos no campo.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Interpretar a influência de alguns fatores abióticos nos ecossistemas, em geral, e aplicá-la em exemplos da região envolvente da escola.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Poluição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Tomada de consciência do uso controlado de materiais ácidos e básicos, de forma a não poluírem rios lagos e mares.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Físico-Química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as ações de matérias ácidos e básicos na natureza, na saúde e na poluição ambiental.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sensibilidade para a importância da manutenção das florestas e meio ambiente.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MENTAL e PREVENÇÃO da VIOLÊNCIA – Subtemas: Risco; Proteção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riscos e comportamentos de risco.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Gerir situações de emergência/ risco.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as capacidades individuais protetoras de risco.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os recursos envolventes protetores de risco.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Priorizar os fatores protetores face a diferentes situações de risco;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Refletir sobre a importância de aprofundar fatores protetores, para lidar com a adversidade e riscos.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Debate.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 jogo “COVID-19”.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IGUALDADE DE GÉNERO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AFETOS e EDUCAÇÃO PARA A SEXUALIDADE – Subtema: Identidade e 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uma atitude positiva no que respeita à igualdade de género.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criticamente os diferentes papéis socioculturais em função do sexo.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o significado da promoção da igualdade de direitos e oportunidades entre homens e mulheres.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em torno do vídeo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Always #Like a girl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Criação de um vídeo sobre “Igualdade de género”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de Turma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CLDS-4G de Pedrógão Grande,</w:t>
            </w:r>
          </w:p>
          <w:p w:rsidR="00000000" w:rsidDel="00000000" w:rsidP="00000000" w:rsidRDefault="00000000" w:rsidRPr="00000000" w14:paraId="0000008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eTwinning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Can We Save Our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SEXUALIDADE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AFETOS e EDUCAÇÃO PARA A SEXUALIDADE – Subtema: Relações afetivas</w:t>
            </w:r>
          </w:p>
          <w:p w:rsidR="00000000" w:rsidDel="00000000" w:rsidP="00000000" w:rsidRDefault="00000000" w:rsidRPr="00000000" w14:paraId="00000088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importância dos afetos no desenvolvimento individual.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importância das relações interpessoais.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a importância das relações afetivas nos diferentes contextos de vida (família, escola, amigos, sociedade).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Atuar de modo assertivo nas diversas interações sociais.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e análise de situações/ desafios.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Dramatização de situações.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Dezembro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  <w:p w:rsidR="00000000" w:rsidDel="00000000" w:rsidP="00000000" w:rsidRDefault="00000000" w:rsidRPr="00000000" w14:paraId="0000009A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CONSUMO SUSTENTÁVEL</w:t>
            </w:r>
          </w:p>
          <w:p w:rsidR="00000000" w:rsidDel="00000000" w:rsidP="00000000" w:rsidRDefault="00000000" w:rsidRPr="00000000" w14:paraId="0000009C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Subtema: Desperdício alimentar</w:t>
            </w:r>
          </w:p>
          <w:p w:rsidR="00000000" w:rsidDel="00000000" w:rsidP="00000000" w:rsidRDefault="00000000" w:rsidRPr="00000000" w14:paraId="0000009D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o ciclo de vida de diferentes bens de consumo.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necessidade de combater o desperdício alimentar.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necessidade de adotar práticas de âmbito pessoal e comunitário de consumo responsável.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que um consumo sem limites exerce demasiada pressão sobre os recursos naturais e provoca danos no ambiente.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da informação existente nos rótulos dos bens e serviços para a decisão de um consumo responsável.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Videoconferência “Consumo sustentável - Desperdício Alimentar”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Tomar consciência de que os seus atos influenciam o ambiente (ou a qualidade do ambiente);</w:t>
            </w:r>
          </w:p>
          <w:p w:rsidR="00000000" w:rsidDel="00000000" w:rsidP="00000000" w:rsidRDefault="00000000" w:rsidRPr="00000000" w14:paraId="000000A9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Adotar comportamentos que visam a preservação dos recursos naturais no presente tendo em vista as gerações futuras.</w:t>
            </w:r>
          </w:p>
          <w:p w:rsidR="00000000" w:rsidDel="00000000" w:rsidP="00000000" w:rsidRDefault="00000000" w:rsidRPr="00000000" w14:paraId="000000AA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Caracterizar diferentes formas de exploração dos recursos naturais, indicando as principais transformações dos recursos naturais.</w:t>
            </w:r>
          </w:p>
          <w:p w:rsidR="00000000" w:rsidDel="00000000" w:rsidP="00000000" w:rsidRDefault="00000000" w:rsidRPr="00000000" w14:paraId="000000AB">
            <w:pPr>
              <w:spacing w:after="0" w:before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Discutir os impactes da exploração/ transformação dos recursos naturais e propor medidas de redução dos mesmos e de promoção da sua sustentabilidade.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DECOJovem - Centro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Consumer Talks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 para a Sustentabilidade</w:t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Território e Paisagem;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e distinguir paisagens humanizadas de paisagens naturais.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os elementos das paisagens e reconhecer o seu carácter dinâmico.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o papel do Homem enquanto principal transformador do território e a sua responsabilidade na sustentabilidade paisagistica.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Observação indireta e direta de paisagens.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Localização e descrição de paisagens.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 objetivos.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4030.8984375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humanos.</w:t>
            </w:r>
          </w:p>
          <w:p w:rsidR="00000000" w:rsidDel="00000000" w:rsidP="00000000" w:rsidRDefault="00000000" w:rsidRPr="00000000" w14:paraId="000000DA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Interculturalidade.</w:t>
            </w:r>
          </w:p>
          <w:p w:rsidR="00000000" w:rsidDel="00000000" w:rsidP="00000000" w:rsidRDefault="00000000" w:rsidRPr="00000000" w14:paraId="000000DB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submissão violenta de diversos povos e o tráfico de seres humanos como uma realidade da expansão.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que as novas rotas do comércio intercontinental constituíram a base do poder global naval português, promovendo a circulação de pessoas e produtos e influenciando os hábitos culturais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visionamento de pequenos vídeos acerca do tráfico de escravos.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visionamento de um pequeno vídeo acerca das trocas culturais ao tempo da expansão.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submissão violenta de diversos povos e o tráfico de seres humanos como uma realidade da expansão.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que as novas rotas do comércio intercontinental constituíram a base do poder global naval português, promovendo a circulação de pessoas e produtos e influenciando os hábitos culturais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EA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Tomada de consciência da importância dos cuidados a ter com as cordas vocais – a voz.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finas através da aprendizagem de peças instrumentais: instrumental Orff e Flauta de bisel.</w:t>
            </w:r>
          </w:p>
          <w:p w:rsidR="00000000" w:rsidDel="00000000" w:rsidP="00000000" w:rsidRDefault="00000000" w:rsidRPr="00000000" w14:paraId="000000E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 contrastantes.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de peças musicais corais, instrumentais e danças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e Comunicação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Cantar, a solo e em grupo, a uma e duas vozes, repertório variado com e sem acompanhamento instrumental, evidenciando confiança e domínio básico da técnica vocal.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Tocar diversos instrumentos acústicos, a solo e em grupo, repertório variado, controlando o tempo, o ritmo e a dinâmica, com progressiva destreza e confiança.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EMRC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1C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1E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1F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20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Pedrógão Grande, 17 de dezembro de 2020. </w:t>
      </w:r>
    </w:p>
    <w:p w:rsidR="00000000" w:rsidDel="00000000" w:rsidP="00000000" w:rsidRDefault="00000000" w:rsidRPr="00000000" w14:paraId="00000123">
      <w:pPr>
        <w:rPr>
          <w:i w:val="1"/>
        </w:rPr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i w:val="1"/>
          <w:rtl w:val="0"/>
        </w:rPr>
        <w:t xml:space="preserve">Paula Cristina Laranjo Santo</w:t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c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0A0C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0A0CB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s5MdHEoVxB9iCvt1yb7Xkyu8w==">AMUW2mUMIoBOWOmko2MaF3qnI3I88k+d6JKscEwqsPPQbRT3nPqBaVQKZYIaup73kLQAbqnSzleOCIZKuaRicZyOCugaSTRSZ4uRacu9oC8kFY1DMTUymhOOVVLx9mwOa7fVI3Z33Nvv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2020-12-07T15:24:00Z</dcterms:created>
  <dc:creator>João Pires</dc:creator>
</cp:coreProperties>
</file>