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None/>
            <wp:docPr id="17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None/>
            <wp:docPr descr="C:\Users\Master\Downloads\Escola Saudável_original_3nivel.jpg" id="167" name="image4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None/>
            <wp:docPr id="16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3.º período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Ciclo: </w:t>
      </w:r>
      <w:r w:rsidDel="00000000" w:rsidR="00000000" w:rsidRPr="00000000">
        <w:rPr>
          <w:u w:val="single"/>
          <w:rtl w:val="0"/>
        </w:rPr>
        <w:t xml:space="preserve">2.º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u w:val="single"/>
          <w:rtl w:val="0"/>
        </w:rPr>
        <w:t xml:space="preserve">6.º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u w:val="single"/>
          <w:rtl w:val="0"/>
        </w:rPr>
        <w:t xml:space="preserve">A</w:t>
      </w:r>
      <w:r w:rsidDel="00000000" w:rsidR="00000000" w:rsidRPr="00000000">
        <w:rPr>
          <w:b w:val="1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45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6"/>
        <w:gridCol w:w="3008"/>
        <w:gridCol w:w="1410"/>
        <w:gridCol w:w="1950"/>
        <w:gridCol w:w="2081"/>
        <w:gridCol w:w="1822"/>
        <w:gridCol w:w="2362"/>
        <w:tblGridChange w:id="0">
          <w:tblGrid>
            <w:gridCol w:w="1966"/>
            <w:gridCol w:w="3008"/>
            <w:gridCol w:w="1410"/>
            <w:gridCol w:w="1950"/>
            <w:gridCol w:w="2081"/>
            <w:gridCol w:w="1822"/>
            <w:gridCol w:w="23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10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Promover o bem-estar e a saúde individual e coletiva.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Conhecer e aplicar cuidados de higienização das mãos e objetos, distanciamento social e uso da máscara.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Aplicação de gel desinfetante de mãos e uso de máscara, diariamente.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Adquirir hábitos de higiene e com vista à promoção do bem-estar e da saúde individual e coletiva.</w:t>
            </w:r>
          </w:p>
          <w:p w:rsidR="00000000" w:rsidDel="00000000" w:rsidP="00000000" w:rsidRDefault="00000000" w:rsidRPr="00000000" w14:paraId="0000001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before="240" w:line="276" w:lineRule="auto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influência da higiene e da poluição na saúde humana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 de vídeos alusivos ao tema.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Diálogo com os alunos para esclarecimento de dúvidas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Adquirir hábitos de higiene.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Alertar para os problemas sociais e suas consequências.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3ºperíodo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de capacidades motoras através da interpretação do movimento corporal em contextos musicais.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a capacidade de identificar criticamente a música, enquanto modo de conhecer e dar significado ao mundo, relacionando-a com o seu dia a dia, e os seus mundos pessoais e sociais.</w:t>
            </w:r>
          </w:p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Aprender como se compõem peças musicais com diversos propósitos, combinando e manipulando vários elementos da música (altura, dinâmica, ritmo, forma, timbres e texturas), utilizando recursos diversos (voz, corpo, objetos sonoros, instrumentos musicais, tecnologias e software).</w:t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danças tradicionais portuguesas e do mundo.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Musical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Apresentar publicamente atividades artísticas em que se articula a música com outras áreas do conhecimento;</w:t>
            </w:r>
          </w:p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Aprofunda a compreensão e a utilização do vocabulário musical e dos princípios composicionais.</w:t>
            </w:r>
          </w:p>
          <w:p w:rsidR="00000000" w:rsidDel="00000000" w:rsidP="00000000" w:rsidRDefault="00000000" w:rsidRPr="00000000" w14:paraId="0000003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Risco/</w:t>
            </w:r>
          </w:p>
          <w:p w:rsidR="00000000" w:rsidDel="00000000" w:rsidP="00000000" w:rsidRDefault="00000000" w:rsidRPr="00000000" w14:paraId="00000041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Segurança/</w:t>
            </w:r>
          </w:p>
          <w:p w:rsidR="00000000" w:rsidDel="00000000" w:rsidP="00000000" w:rsidRDefault="00000000" w:rsidRPr="00000000" w14:paraId="00000042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proceder perante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comentários desagradáveis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nas redes sociais.</w:t>
            </w:r>
          </w:p>
          <w:p w:rsidR="00000000" w:rsidDel="00000000" w:rsidP="00000000" w:rsidRDefault="00000000" w:rsidRPr="00000000" w14:paraId="0000004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códigos de conduta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que não se devem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fotografar sessões síncronas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sem o consentimento de todos os participantes.</w:t>
            </w:r>
          </w:p>
          <w:p w:rsidR="00000000" w:rsidDel="00000000" w:rsidP="00000000" w:rsidRDefault="00000000" w:rsidRPr="00000000" w14:paraId="0000004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como proceder com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marcação de encontros online com desconhecidos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consciência dos perigos devido ao alheamento causado pelo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uso sistemático do telemóvel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não desligar os dados do telemóvel durante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6.º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Redes Sociais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4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4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4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5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5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Atuar perante comentários desagradáveis.</w:t>
            </w:r>
          </w:p>
          <w:p w:rsidR="00000000" w:rsidDel="00000000" w:rsidP="00000000" w:rsidRDefault="00000000" w:rsidRPr="00000000" w14:paraId="0000005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Respeito pelos códigos de conduta.</w:t>
            </w:r>
          </w:p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Autorização para fotografar sessões síncronas.</w:t>
            </w:r>
          </w:p>
          <w:p w:rsidR="00000000" w:rsidDel="00000000" w:rsidP="00000000" w:rsidRDefault="00000000" w:rsidRPr="00000000" w14:paraId="0000005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marcar encontros online com desconhecidos.</w:t>
            </w:r>
          </w:p>
          <w:p w:rsidR="00000000" w:rsidDel="00000000" w:rsidP="00000000" w:rsidRDefault="00000000" w:rsidRPr="00000000" w14:paraId="0000005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sistematicamente o telemóvel.</w:t>
            </w:r>
          </w:p>
          <w:p w:rsidR="00000000" w:rsidDel="00000000" w:rsidP="00000000" w:rsidRDefault="00000000" w:rsidRPr="00000000" w14:paraId="0000005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Desligar os dados do telemóvel durante a noite.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</w:tbl>
    <w:p w:rsidR="00000000" w:rsidDel="00000000" w:rsidP="00000000" w:rsidRDefault="00000000" w:rsidRPr="00000000" w14:paraId="00000059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importância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estabelecer horários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para os jogos online.</w:t>
            </w:r>
          </w:p>
          <w:p w:rsidR="00000000" w:rsidDel="00000000" w:rsidP="00000000" w:rsidRDefault="00000000" w:rsidRPr="00000000" w14:paraId="0000006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Consequências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jogar online durante toda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não descansar.</w:t>
            </w:r>
          </w:p>
          <w:p w:rsidR="00000000" w:rsidDel="00000000" w:rsidP="00000000" w:rsidRDefault="00000000" w:rsidRPr="00000000" w14:paraId="0000006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optar entre jogar online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estar com os amigos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identificar os problemas que podem surgir,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quando se utiliza de forma excessiva a internet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em que situações é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desaconselhável o uso de dispositivos móveis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7.º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Prevenção da Dependência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6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6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6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7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7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7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Estabelecer horários para jogos online.</w:t>
            </w:r>
          </w:p>
          <w:p w:rsidR="00000000" w:rsidDel="00000000" w:rsidP="00000000" w:rsidRDefault="00000000" w:rsidRPr="00000000" w14:paraId="0000007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jogar online durante a noite.</w:t>
            </w:r>
          </w:p>
          <w:p w:rsidR="00000000" w:rsidDel="00000000" w:rsidP="00000000" w:rsidRDefault="00000000" w:rsidRPr="00000000" w14:paraId="0000007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Importância de estar com os amigos.</w:t>
            </w:r>
          </w:p>
          <w:p w:rsidR="00000000" w:rsidDel="00000000" w:rsidP="00000000" w:rsidRDefault="00000000" w:rsidRPr="00000000" w14:paraId="0000007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a internet de forma excessiva.</w:t>
            </w:r>
          </w:p>
          <w:p w:rsidR="00000000" w:rsidDel="00000000" w:rsidP="00000000" w:rsidRDefault="00000000" w:rsidRPr="00000000" w14:paraId="0000007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usar os dispositivos móveis.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="276" w:lineRule="auto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Direitos/Segurança/Saúde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Fazer com que os mais novos fiquem mais conscientes e atentos aos temas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Propriedade Intelectual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Incentivar os jovens, enquanto consumidores, a adotar escolhas que respeitem a propriedade intelectual (a propriedade industrial e o direito de autor) e que combatam a contrafação e a pirataria para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salvaguardar os seus direitos, a sua segurança e, até mesmo, a sua saúde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 Game Week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 convite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DECOJovem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que consiste numa competição saudável do jogo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 com prémios para as escolas vencedoras.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7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8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8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8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8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8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Consciência e atenção aos temas da Propriedade Intelectual.</w:t>
            </w:r>
          </w:p>
          <w:p w:rsidR="00000000" w:rsidDel="00000000" w:rsidP="00000000" w:rsidRDefault="00000000" w:rsidRPr="00000000" w14:paraId="0000008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a propriedade intelectual e salvaguardar direitos, segurança e saúde.</w:t>
            </w:r>
          </w:p>
          <w:p w:rsidR="00000000" w:rsidDel="00000000" w:rsidP="00000000" w:rsidRDefault="00000000" w:rsidRPr="00000000" w14:paraId="0000008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Considerando o definido nos objetivos definidos pela Direção-Geral da Educação (DGE), que, resumidamente, propõem melhorar o estado de saúde global dos jovens, inverter a tendência crescente de perfis de doença associadas a uma deficiente nutrição e promover a saúde dos jovens, especificamente em matéria de alimentação saudável e atividade física.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XX edição do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concurso Artistas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organizada em parceria com a Direção-Geral da Educação, propõe o tema "Promoção da saúde alimentar e exercício físico” para todas as categorias do concurso (Pré-escolar, 1.º e 2.º Ciclos).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8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8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9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9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9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9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utilizar as ferramentas de desenho digital.</w:t>
            </w:r>
          </w:p>
          <w:p w:rsidR="00000000" w:rsidDel="00000000" w:rsidP="00000000" w:rsidRDefault="00000000" w:rsidRPr="00000000" w14:paraId="0000009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Revisão de conceitos associados a:</w:t>
            </w:r>
          </w:p>
          <w:p w:rsidR="00000000" w:rsidDel="00000000" w:rsidP="00000000" w:rsidRDefault="00000000" w:rsidRPr="00000000" w14:paraId="0000009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Educação Alimentar e Atividade Física;</w:t>
            </w:r>
          </w:p>
          <w:p w:rsidR="00000000" w:rsidDel="00000000" w:rsidP="00000000" w:rsidRDefault="00000000" w:rsidRPr="00000000" w14:paraId="0000009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Pirâmide das Atividades Físicas para Crianças;</w:t>
            </w:r>
          </w:p>
          <w:p w:rsidR="00000000" w:rsidDel="00000000" w:rsidP="00000000" w:rsidRDefault="00000000" w:rsidRPr="00000000" w14:paraId="0000009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Pirâmide Alimentar;</w:t>
            </w:r>
          </w:p>
          <w:p w:rsidR="00000000" w:rsidDel="00000000" w:rsidP="00000000" w:rsidRDefault="00000000" w:rsidRPr="00000000" w14:paraId="0000009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Roda dos Alimentos.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="276" w:lineRule="auto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Risco/Segurança Digital/Saúde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Ação com grande componente preventiva, constituindo-se como um bom elo de transmissão de informação de segurança num papel interventivo e relevante no que respeita à formação e sensibilização dos alunos para a adoção de regras e comportamentos de segurança online, o que no futuro poderá traduzir-se na prevenção de alguns comportamentos de risco.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Palestra promovida por uma Equipa do Programa Escola Segura (EPES) do Destacamento da GNR de Pombal, subordinada ao tema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Comportamentos de Risco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Saber adotar comportamentos online corretos para obviar a comportamentos de risco, garantindo condições de segurança e saúde.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noção dos riscos antes de manusear os materiais e utensílios nas aulas de EV,  ET e Artes e Espetáculos, na realização de trabalhos práticos.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Realização de trabalhos Práticos individuais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Visual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Tecnológica</w:t>
            </w:r>
          </w:p>
          <w:p w:rsidR="00000000" w:rsidDel="00000000" w:rsidP="00000000" w:rsidRDefault="00000000" w:rsidRPr="00000000" w14:paraId="000000AA">
            <w:pPr>
              <w:spacing w:after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Artes e Espetáculos</w:t>
            </w:r>
          </w:p>
          <w:p w:rsidR="00000000" w:rsidDel="00000000" w:rsidP="00000000" w:rsidRDefault="00000000" w:rsidRPr="00000000" w14:paraId="000000A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Colaboração;</w:t>
            </w:r>
          </w:p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 </w:t>
            </w:r>
          </w:p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Adoção de comportamentos seguros e responsáveis em ambiente de trabalho.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Ambiental.  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Alertar os alunos para os problemas ambientais.</w:t>
            </w:r>
          </w:p>
          <w:p w:rsidR="00000000" w:rsidDel="00000000" w:rsidP="00000000" w:rsidRDefault="00000000" w:rsidRPr="00000000" w14:paraId="000000B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Consciencializar os alunos da necessidade da mudança de hábitos.</w:t>
            </w:r>
          </w:p>
          <w:p w:rsidR="00000000" w:rsidDel="00000000" w:rsidP="00000000" w:rsidRDefault="00000000" w:rsidRPr="00000000" w14:paraId="000000B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Consciencializar os alunos para a necessidade de reciclar e incentivar a reutilizar materiais.</w:t>
            </w:r>
          </w:p>
          <w:p w:rsidR="00000000" w:rsidDel="00000000" w:rsidP="00000000" w:rsidRDefault="00000000" w:rsidRPr="00000000" w14:paraId="000000B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Diálogo acerca da reciclagem necessidade de reciclar. </w:t>
            </w:r>
          </w:p>
          <w:p w:rsidR="00000000" w:rsidDel="00000000" w:rsidP="00000000" w:rsidRDefault="00000000" w:rsidRPr="00000000" w14:paraId="000000C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Proposta de trabalhos utilizando materiais recicláveis - reutilizar.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Visionamento de vídeos e powerpoit.</w:t>
            </w:r>
          </w:p>
          <w:p w:rsidR="00000000" w:rsidDel="00000000" w:rsidP="00000000" w:rsidRDefault="00000000" w:rsidRPr="00000000" w14:paraId="000000C4">
            <w:pPr>
              <w:spacing w:before="240" w:line="276" w:lineRule="auto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Pesquisas orientadas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Tecnológica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Criatividade.</w:t>
            </w:r>
          </w:p>
          <w:p w:rsidR="00000000" w:rsidDel="00000000" w:rsidP="00000000" w:rsidRDefault="00000000" w:rsidRPr="00000000" w14:paraId="000000C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Imaginação.</w:t>
            </w:r>
          </w:p>
          <w:p w:rsidR="00000000" w:rsidDel="00000000" w:rsidP="00000000" w:rsidRDefault="00000000" w:rsidRPr="00000000" w14:paraId="000000C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Participação.</w:t>
            </w:r>
          </w:p>
          <w:p w:rsidR="00000000" w:rsidDel="00000000" w:rsidP="00000000" w:rsidRDefault="00000000" w:rsidRPr="00000000" w14:paraId="000000C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Pensamento crítico. </w:t>
            </w:r>
          </w:p>
          <w:p w:rsidR="00000000" w:rsidDel="00000000" w:rsidP="00000000" w:rsidRDefault="00000000" w:rsidRPr="00000000" w14:paraId="000000C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C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Responsabilidade Ambiental. </w:t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-----------------------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bem-estar e a saúde individual e coletiva.</w:t>
            </w:r>
          </w:p>
          <w:p w:rsidR="00000000" w:rsidDel="00000000" w:rsidP="00000000" w:rsidRDefault="00000000" w:rsidRPr="00000000" w14:paraId="000000DC">
            <w:pPr>
              <w:spacing w:after="240" w:before="24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gosto pela prática regular de atividade física.</w:t>
            </w:r>
          </w:p>
          <w:p w:rsidR="00000000" w:rsidDel="00000000" w:rsidP="00000000" w:rsidRDefault="00000000" w:rsidRPr="00000000" w14:paraId="000000DD">
            <w:pPr>
              <w:spacing w:after="240" w:before="24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e aplicar cuidados de higiene;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-Cálculo do IMC</w:t>
            </w:r>
          </w:p>
          <w:p w:rsidR="00000000" w:rsidDel="00000000" w:rsidP="00000000" w:rsidRDefault="00000000" w:rsidRPr="00000000" w14:paraId="000000DF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-Aplicação da bateria de testes da Plataforma Fitescola®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</w:t>
            </w:r>
          </w:p>
          <w:p w:rsidR="00000000" w:rsidDel="00000000" w:rsidP="00000000" w:rsidRDefault="00000000" w:rsidRPr="00000000" w14:paraId="000000E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E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os processos fundamentais das adaptações morfológicas, funcionais e psicológicas, que lhe permite compreender os diversos fatores da aptidão física.</w:t>
            </w:r>
          </w:p>
          <w:p w:rsidR="00000000" w:rsidDel="00000000" w:rsidP="00000000" w:rsidRDefault="00000000" w:rsidRPr="00000000" w14:paraId="000000E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-Saúde (promoção da saúde, saúde pública, alimentação, exercício físico).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de 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Cidadania</w:t>
            </w:r>
          </w:p>
          <w:p w:rsidR="00000000" w:rsidDel="00000000" w:rsidP="00000000" w:rsidRDefault="00000000" w:rsidRPr="00000000" w14:paraId="000000EB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  <w:p w:rsidR="00000000" w:rsidDel="00000000" w:rsidP="00000000" w:rsidRDefault="00000000" w:rsidRPr="00000000" w14:paraId="000000E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Reconhecer e aceitar a diversidade de situações, gostos e preferências entre os seus colegas.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Saber respeitar o outro independentemente das suas caraterísticas físicas ou outras.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Realização de trabalhos escritos e debate sobre o tema. </w:t>
            </w:r>
          </w:p>
          <w:p w:rsidR="00000000" w:rsidDel="00000000" w:rsidP="00000000" w:rsidRDefault="00000000" w:rsidRPr="00000000" w14:paraId="000000F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  <w:p w:rsidR="00000000" w:rsidDel="00000000" w:rsidP="00000000" w:rsidRDefault="00000000" w:rsidRPr="00000000" w14:paraId="000000F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-Identificar as capacidades, recursos e limitações próprias, e dos outros, e respeitá-las.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a diversidade de crenças e valores em função de fatores históricos, geográficos e culturais.</w:t>
            </w:r>
          </w:p>
          <w:p w:rsidR="00000000" w:rsidDel="00000000" w:rsidP="00000000" w:rsidRDefault="00000000" w:rsidRPr="00000000" w14:paraId="000000F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 aceitar a diversidade de situações, gostos e preferências entre os seus colegas.</w:t>
            </w:r>
          </w:p>
          <w:p w:rsidR="00000000" w:rsidDel="00000000" w:rsidP="00000000" w:rsidRDefault="00000000" w:rsidRPr="00000000" w14:paraId="0000010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 outro independentemente das suas caraterísticas físicas ou outras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Leitura de textos.</w:t>
            </w:r>
          </w:p>
          <w:p w:rsidR="00000000" w:rsidDel="00000000" w:rsidP="00000000" w:rsidRDefault="00000000" w:rsidRPr="00000000" w14:paraId="0000010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Realização de trabalhos escritos e debate sobre o tema.</w:t>
            </w:r>
          </w:p>
          <w:p w:rsidR="00000000" w:rsidDel="00000000" w:rsidP="00000000" w:rsidRDefault="00000000" w:rsidRPr="00000000" w14:paraId="0000010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Visionamento de vídeos.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elementos constitutivos da sua própria cultura e da(s) cultura(s) de língua estrangeira: diferentes aspetos de si próprio, identificar pessoas, lugares e aspetos que são importantes para si e para a sua cultura.</w:t>
            </w:r>
          </w:p>
          <w:p w:rsidR="00000000" w:rsidDel="00000000" w:rsidP="00000000" w:rsidRDefault="00000000" w:rsidRPr="00000000" w14:paraId="0000010E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espaços de realidades culturais diferentes (a comunidade dos outros).</w:t>
            </w:r>
          </w:p>
          <w:p w:rsidR="00000000" w:rsidDel="00000000" w:rsidP="00000000" w:rsidRDefault="00000000" w:rsidRPr="00000000" w14:paraId="0000010F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   </w:t>
              <w:tab/>
              <w:t xml:space="preserve">Localizar no mapa alguns países de expressão inglesa.</w:t>
            </w:r>
          </w:p>
          <w:p w:rsidR="00000000" w:rsidDel="00000000" w:rsidP="00000000" w:rsidRDefault="00000000" w:rsidRPr="00000000" w14:paraId="00000110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Associar capitais e algumas cidades desses países estudados.</w:t>
            </w:r>
          </w:p>
          <w:p w:rsidR="00000000" w:rsidDel="00000000" w:rsidP="00000000" w:rsidRDefault="00000000" w:rsidRPr="00000000" w14:paraId="00000111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   </w:t>
              <w:tab/>
              <w:t xml:space="preserve">Reconhecer aspetos culturais de países de expressão inglesa, tais como bandeiras e símbolos nacionais.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</w:p>
          <w:p w:rsidR="00000000" w:rsidDel="00000000" w:rsidP="00000000" w:rsidRDefault="00000000" w:rsidRPr="00000000" w14:paraId="0000011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20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22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23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124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Pedrógão Grande, ____ de _______________ de 202___. 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A Educadora/ Professor(a) titular/ Diretor(a) de Turma: Susana de Castro</w:t>
      </w:r>
    </w:p>
    <w:sectPr>
      <w:headerReference r:id="rId12" w:type="default"/>
      <w:footerReference r:id="rId13" w:type="default"/>
      <w:pgSz w:h="11906" w:w="16838" w:orient="landscape"/>
      <w:pgMar w:bottom="426" w:top="28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D756C"/>
  </w:style>
  <w:style w:type="paragraph" w:styleId="Rodap">
    <w:name w:val="footer"/>
    <w:basedOn w:val="Normal"/>
    <w:link w:val="RodapCha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D756C"/>
  </w:style>
  <w:style w:type="character" w:styleId="Hyperlink">
    <w:name w:val="Hyperlink"/>
    <w:basedOn w:val="Fontepargpadro"/>
    <w:uiPriority w:val="99"/>
    <w:unhideWhenUsed w:val="1"/>
    <w:rsid w:val="00E636A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S0DYERk3EYZxoPBGX5PWHb12Q==">AMUW2mUd2hodkNHg+TSyOozHdD1x6PC4zYn1mHooFW2lu1e9xjUQfUzuwF/YrSOmtdwoypamYX44LVznuOPW6GvgFMMbBwuXU+BFD15O8UuB/iPKnsU85Kc=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2021-07-08T10:55:00Z</dcterms:created>
  <dc:creator>João Pires</dc:creator>
</cp:coreProperties>
</file>